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3" w:type="dxa"/>
        <w:tblInd w:w="14" w:type="dxa"/>
        <w:tblLayout w:type="fixed"/>
        <w:tblCellMar>
          <w:left w:w="14" w:type="dxa"/>
          <w:right w:w="14" w:type="dxa"/>
        </w:tblCellMar>
        <w:tblLook w:val="0000"/>
      </w:tblPr>
      <w:tblGrid>
        <w:gridCol w:w="567"/>
        <w:gridCol w:w="3119"/>
        <w:gridCol w:w="680"/>
        <w:gridCol w:w="2397"/>
        <w:gridCol w:w="254"/>
        <w:gridCol w:w="3096"/>
      </w:tblGrid>
      <w:tr w:rsidR="00301C53" w:rsidTr="00C83705">
        <w:trPr>
          <w:trHeight w:hRule="exact" w:val="1236"/>
        </w:trPr>
        <w:tc>
          <w:tcPr>
            <w:tcW w:w="6763" w:type="dxa"/>
            <w:gridSpan w:val="4"/>
          </w:tcPr>
          <w:p w:rsidR="00301C53" w:rsidRDefault="00301C53" w:rsidP="00764B03">
            <w:pPr>
              <w:pStyle w:val="Amtskopf"/>
            </w:pPr>
          </w:p>
        </w:tc>
        <w:tc>
          <w:tcPr>
            <w:tcW w:w="3350" w:type="dxa"/>
            <w:gridSpan w:val="2"/>
          </w:tcPr>
          <w:p w:rsidR="00301C53" w:rsidRDefault="00410255">
            <w:pPr>
              <w:jc w:val="right"/>
            </w:pPr>
            <w:r>
              <w:rPr>
                <w:noProof/>
                <w:lang w:val="de-DE"/>
              </w:rPr>
              <w:drawing>
                <wp:inline distT="0" distB="0" distL="0" distR="0">
                  <wp:extent cx="1972945" cy="786130"/>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2945" cy="786130"/>
                          </a:xfrm>
                          <a:prstGeom prst="rect">
                            <a:avLst/>
                          </a:prstGeom>
                          <a:noFill/>
                          <a:ln w="9525">
                            <a:noFill/>
                            <a:miter lim="800000"/>
                            <a:headEnd/>
                            <a:tailEnd/>
                          </a:ln>
                        </pic:spPr>
                      </pic:pic>
                    </a:graphicData>
                  </a:graphic>
                </wp:inline>
              </w:drawing>
            </w:r>
          </w:p>
        </w:tc>
      </w:tr>
      <w:tr w:rsidR="00301C53" w:rsidTr="00C83705">
        <w:tblPrEx>
          <w:tblCellMar>
            <w:left w:w="0" w:type="dxa"/>
            <w:right w:w="0" w:type="dxa"/>
          </w:tblCellMar>
        </w:tblPrEx>
        <w:trPr>
          <w:trHeight w:hRule="exact" w:val="3180"/>
        </w:trPr>
        <w:tc>
          <w:tcPr>
            <w:tcW w:w="7017" w:type="dxa"/>
            <w:gridSpan w:val="5"/>
          </w:tcPr>
          <w:p w:rsidR="00301C53" w:rsidRDefault="00301C53">
            <w:pPr>
              <w:pStyle w:val="DSTkurz"/>
              <w:rPr>
                <w:sz w:val="20"/>
              </w:rPr>
            </w:pPr>
          </w:p>
          <w:p w:rsidR="00301C53" w:rsidRDefault="00301C53">
            <w:pPr>
              <w:pStyle w:val="Adressat"/>
            </w:pPr>
          </w:p>
        </w:tc>
        <w:tc>
          <w:tcPr>
            <w:tcW w:w="3096" w:type="dxa"/>
          </w:tcPr>
          <w:p w:rsidR="00301C53" w:rsidRDefault="00301C53">
            <w:pPr>
              <w:pStyle w:val="Zusatz"/>
            </w:pPr>
          </w:p>
        </w:tc>
      </w:tr>
      <w:tr w:rsidR="00301C53" w:rsidTr="000D028F">
        <w:tblPrEx>
          <w:tblCellMar>
            <w:left w:w="0" w:type="dxa"/>
            <w:right w:w="0" w:type="dxa"/>
          </w:tblCellMar>
        </w:tblPrEx>
        <w:trPr>
          <w:trHeight w:hRule="exact" w:val="689"/>
        </w:trPr>
        <w:tc>
          <w:tcPr>
            <w:tcW w:w="567" w:type="dxa"/>
          </w:tcPr>
          <w:p w:rsidR="00301C53" w:rsidRPr="00332FF4" w:rsidRDefault="00301C53">
            <w:pPr>
              <w:pStyle w:val="GZ-Ggst"/>
              <w:rPr>
                <w:lang w:val="de-DE"/>
              </w:rPr>
            </w:pPr>
          </w:p>
        </w:tc>
        <w:tc>
          <w:tcPr>
            <w:tcW w:w="3119" w:type="dxa"/>
          </w:tcPr>
          <w:p w:rsidR="000D028F" w:rsidRPr="00332FF4" w:rsidRDefault="000D028F" w:rsidP="000D028F">
            <w:pPr>
              <w:pStyle w:val="GZ-Ggst"/>
              <w:rPr>
                <w:lang w:val="de-DE"/>
              </w:rPr>
            </w:pPr>
          </w:p>
        </w:tc>
        <w:tc>
          <w:tcPr>
            <w:tcW w:w="680" w:type="dxa"/>
          </w:tcPr>
          <w:p w:rsidR="00301C53" w:rsidRPr="00332FF4" w:rsidRDefault="00301C53" w:rsidP="009C630D">
            <w:pPr>
              <w:pStyle w:val="GZ-Ggst"/>
              <w:jc w:val="right"/>
              <w:rPr>
                <w:lang w:val="de-DE"/>
              </w:rPr>
            </w:pPr>
          </w:p>
        </w:tc>
        <w:tc>
          <w:tcPr>
            <w:tcW w:w="2651" w:type="dxa"/>
            <w:gridSpan w:val="2"/>
          </w:tcPr>
          <w:p w:rsidR="00301C53" w:rsidRPr="00332FF4" w:rsidRDefault="00301C53" w:rsidP="009C630D">
            <w:pPr>
              <w:pStyle w:val="GZ-Ggst"/>
              <w:rPr>
                <w:lang w:val="de-DE"/>
              </w:rPr>
            </w:pPr>
          </w:p>
        </w:tc>
        <w:tc>
          <w:tcPr>
            <w:tcW w:w="3096" w:type="dxa"/>
          </w:tcPr>
          <w:p w:rsidR="00301C53" w:rsidRDefault="00301C53" w:rsidP="00E14EC2">
            <w:pPr>
              <w:pStyle w:val="GZ-Ggst"/>
            </w:pPr>
          </w:p>
        </w:tc>
      </w:tr>
      <w:tr w:rsidR="00301C53" w:rsidTr="000D028F">
        <w:tblPrEx>
          <w:tblCellMar>
            <w:left w:w="0" w:type="dxa"/>
            <w:right w:w="0" w:type="dxa"/>
          </w:tblCellMar>
        </w:tblPrEx>
        <w:trPr>
          <w:gridAfter w:val="1"/>
          <w:wAfter w:w="3096" w:type="dxa"/>
          <w:trHeight w:val="480"/>
        </w:trPr>
        <w:tc>
          <w:tcPr>
            <w:tcW w:w="567" w:type="dxa"/>
          </w:tcPr>
          <w:p w:rsidR="00301C53" w:rsidRDefault="00301C53">
            <w:pPr>
              <w:pStyle w:val="GZ-Ggst"/>
            </w:pPr>
          </w:p>
        </w:tc>
        <w:tc>
          <w:tcPr>
            <w:tcW w:w="6450" w:type="dxa"/>
            <w:gridSpan w:val="4"/>
          </w:tcPr>
          <w:p w:rsidR="00301C53" w:rsidRDefault="00301C53" w:rsidP="00284622">
            <w:pPr>
              <w:pStyle w:val="GZ-Ggst"/>
            </w:pPr>
          </w:p>
        </w:tc>
      </w:tr>
    </w:tbl>
    <w:p w:rsidR="00301C53" w:rsidRDefault="00301C53">
      <w:pPr>
        <w:pStyle w:val="Text"/>
        <w:sectPr w:rsidR="00301C53">
          <w:headerReference w:type="even" r:id="rId9"/>
          <w:headerReference w:type="default" r:id="rId10"/>
          <w:headerReference w:type="first" r:id="rId11"/>
          <w:footerReference w:type="first" r:id="rId12"/>
          <w:type w:val="continuous"/>
          <w:pgSz w:w="11907" w:h="16840" w:code="9"/>
          <w:pgMar w:top="851" w:right="1304" w:bottom="1418" w:left="1418" w:header="680" w:footer="680" w:gutter="0"/>
          <w:cols w:space="720"/>
          <w:titlePg/>
        </w:sectPr>
      </w:pPr>
    </w:p>
    <w:p w:rsidR="00301C53" w:rsidRDefault="00301C53">
      <w:pPr>
        <w:pStyle w:val="Text"/>
      </w:pPr>
    </w:p>
    <w:p w:rsidR="00284622" w:rsidRDefault="00284622" w:rsidP="00594C62">
      <w:pPr>
        <w:pStyle w:val="Text"/>
        <w:spacing w:before="0" w:after="0"/>
        <w:jc w:val="both"/>
      </w:pPr>
    </w:p>
    <w:p w:rsidR="00C83705" w:rsidRDefault="00C83705" w:rsidP="00C83705">
      <w:pPr>
        <w:pStyle w:val="Text"/>
        <w:jc w:val="center"/>
        <w:rPr>
          <w:b/>
        </w:rPr>
      </w:pPr>
      <w:r w:rsidRPr="00C83705">
        <w:rPr>
          <w:b/>
          <w:sz w:val="48"/>
          <w:szCs w:val="48"/>
        </w:rPr>
        <w:t>Richtlinien</w:t>
      </w:r>
    </w:p>
    <w:p w:rsidR="00284622" w:rsidRDefault="00284622" w:rsidP="00594C62">
      <w:pPr>
        <w:pStyle w:val="Text"/>
        <w:spacing w:before="0" w:after="0"/>
        <w:jc w:val="both"/>
      </w:pPr>
    </w:p>
    <w:p w:rsidR="00C83705" w:rsidRPr="00192068" w:rsidRDefault="00C83705" w:rsidP="00594C62">
      <w:pPr>
        <w:pStyle w:val="Text"/>
        <w:spacing w:before="0" w:after="0"/>
        <w:jc w:val="both"/>
        <w:rPr>
          <w:b/>
        </w:rPr>
      </w:pPr>
      <w:r w:rsidRPr="00192068">
        <w:rPr>
          <w:b/>
        </w:rPr>
        <w:t>für die Gewährung von Reformfondsmittel an Gemeinden</w:t>
      </w:r>
      <w:r w:rsidR="00192068" w:rsidRPr="00192068">
        <w:rPr>
          <w:b/>
        </w:rPr>
        <w:t>,</w:t>
      </w:r>
      <w:r w:rsidRPr="00192068">
        <w:rPr>
          <w:b/>
        </w:rPr>
        <w:t xml:space="preserve"> </w:t>
      </w:r>
      <w:r w:rsidR="00192068">
        <w:rPr>
          <w:b/>
        </w:rPr>
        <w:tab/>
      </w:r>
      <w:r w:rsidR="00192068">
        <w:rPr>
          <w:b/>
        </w:rPr>
        <w:br/>
      </w:r>
      <w:r w:rsidRPr="00192068">
        <w:rPr>
          <w:b/>
        </w:rPr>
        <w:t xml:space="preserve">die sich entsprechend dem Leitbild zur Gemeindestrukturreform </w:t>
      </w:r>
      <w:r w:rsidR="00192068">
        <w:rPr>
          <w:b/>
        </w:rPr>
        <w:tab/>
      </w:r>
      <w:r w:rsidR="00192068">
        <w:rPr>
          <w:b/>
        </w:rPr>
        <w:br/>
      </w:r>
      <w:r w:rsidRPr="00192068">
        <w:rPr>
          <w:b/>
        </w:rPr>
        <w:t xml:space="preserve">freiwillig mit einer oder mehreren Gemeinden zu einer </w:t>
      </w:r>
      <w:r w:rsidR="00192068">
        <w:rPr>
          <w:b/>
        </w:rPr>
        <w:tab/>
      </w:r>
      <w:r w:rsidR="00192068">
        <w:rPr>
          <w:b/>
        </w:rPr>
        <w:br/>
      </w:r>
      <w:r w:rsidRPr="00192068">
        <w:rPr>
          <w:b/>
        </w:rPr>
        <w:t>neuen Gemeinde vereinigen.</w:t>
      </w:r>
    </w:p>
    <w:p w:rsidR="00192068" w:rsidRDefault="00192068" w:rsidP="00594C62">
      <w:pPr>
        <w:pStyle w:val="Text"/>
        <w:spacing w:before="0" w:after="0"/>
        <w:jc w:val="both"/>
      </w:pPr>
    </w:p>
    <w:p w:rsidR="00192068" w:rsidRDefault="00192068" w:rsidP="00594C62">
      <w:pPr>
        <w:pStyle w:val="Text"/>
        <w:spacing w:before="0" w:after="0"/>
        <w:jc w:val="both"/>
      </w:pPr>
    </w:p>
    <w:p w:rsidR="00192068" w:rsidRDefault="00192068" w:rsidP="00594C62">
      <w:pPr>
        <w:pStyle w:val="Text"/>
        <w:spacing w:before="0" w:after="0"/>
        <w:jc w:val="both"/>
      </w:pPr>
    </w:p>
    <w:p w:rsidR="00192068" w:rsidRDefault="00192068" w:rsidP="00594C62">
      <w:pPr>
        <w:pStyle w:val="Text"/>
        <w:spacing w:before="0" w:after="0"/>
        <w:jc w:val="both"/>
      </w:pPr>
    </w:p>
    <w:p w:rsidR="00192068" w:rsidRDefault="00192068" w:rsidP="00594C62">
      <w:pPr>
        <w:pStyle w:val="Text"/>
        <w:spacing w:before="0" w:after="0"/>
        <w:jc w:val="both"/>
      </w:pPr>
    </w:p>
    <w:p w:rsidR="00192068" w:rsidRDefault="00192068" w:rsidP="00594C62">
      <w:pPr>
        <w:pStyle w:val="Text"/>
        <w:spacing w:before="0" w:after="0"/>
        <w:jc w:val="both"/>
      </w:pPr>
    </w:p>
    <w:p w:rsidR="00BA6DD1" w:rsidRDefault="00BA6DD1"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6D63BE" w:rsidRDefault="006D63BE" w:rsidP="00594C62">
      <w:pPr>
        <w:pStyle w:val="Text"/>
        <w:spacing w:before="0" w:after="0"/>
        <w:jc w:val="both"/>
      </w:pPr>
    </w:p>
    <w:p w:rsidR="00BA6DD1" w:rsidRDefault="00BA6DD1" w:rsidP="00594C62">
      <w:pPr>
        <w:pStyle w:val="Text"/>
        <w:spacing w:before="0" w:after="0"/>
        <w:jc w:val="both"/>
      </w:pPr>
    </w:p>
    <w:p w:rsidR="00192068" w:rsidRDefault="006D63BE" w:rsidP="00594C62">
      <w:pPr>
        <w:pStyle w:val="Text"/>
        <w:spacing w:before="0" w:after="0"/>
        <w:jc w:val="both"/>
      </w:pPr>
      <w:r>
        <w:t xml:space="preserve">Beschluss der Steiermärkischen Landesregierung am </w:t>
      </w:r>
      <w:r w:rsidR="00E1108D">
        <w:t>20.06.2013</w:t>
      </w:r>
    </w:p>
    <w:p w:rsidR="00C83705" w:rsidRDefault="00C83705">
      <w:pPr>
        <w:overflowPunct/>
        <w:autoSpaceDE/>
        <w:autoSpaceDN/>
        <w:adjustRightInd/>
        <w:textAlignment w:val="auto"/>
      </w:pPr>
      <w:r>
        <w:br w:type="page"/>
      </w:r>
    </w:p>
    <w:p w:rsidR="00C83705" w:rsidRDefault="00BA6DD1" w:rsidP="00C83705">
      <w:pPr>
        <w:pStyle w:val="berschrift1"/>
      </w:pPr>
      <w:r>
        <w:lastRenderedPageBreak/>
        <w:t>Allgemeines</w:t>
      </w:r>
    </w:p>
    <w:p w:rsidR="00C83705" w:rsidRDefault="00C83705" w:rsidP="00C83705">
      <w:pPr>
        <w:rPr>
          <w:lang w:val="de-DE" w:eastAsia="en-US"/>
        </w:rPr>
      </w:pPr>
    </w:p>
    <w:p w:rsidR="00C83705" w:rsidRPr="003B184D" w:rsidRDefault="00BA6DD1" w:rsidP="001874D1">
      <w:pPr>
        <w:jc w:val="both"/>
        <w:rPr>
          <w:szCs w:val="22"/>
          <w:lang w:val="de-DE" w:eastAsia="en-US"/>
        </w:rPr>
      </w:pPr>
      <w:r w:rsidRPr="003B184D">
        <w:rPr>
          <w:szCs w:val="22"/>
          <w:lang w:val="de-DE" w:eastAsia="en-US"/>
        </w:rPr>
        <w:t>Ziel dieser Richtlinien ist es, Gemeinden</w:t>
      </w:r>
      <w:r w:rsidR="004B2E37" w:rsidRPr="003B184D">
        <w:rPr>
          <w:szCs w:val="22"/>
          <w:lang w:val="de-DE" w:eastAsia="en-US"/>
        </w:rPr>
        <w:t>, die sich</w:t>
      </w:r>
      <w:r w:rsidRPr="003B184D">
        <w:rPr>
          <w:szCs w:val="22"/>
          <w:lang w:val="de-DE" w:eastAsia="en-US"/>
        </w:rPr>
        <w:t xml:space="preserve"> im Rahmen der Gemeindestrukturreform des Landes Steiermark </w:t>
      </w:r>
      <w:r w:rsidR="00285BAC">
        <w:rPr>
          <w:szCs w:val="22"/>
          <w:lang w:val="de-DE" w:eastAsia="en-US"/>
        </w:rPr>
        <w:t>(</w:t>
      </w:r>
      <w:r w:rsidR="00B70D32">
        <w:rPr>
          <w:lang w:val="de-DE" w:eastAsia="en-US"/>
        </w:rPr>
        <w:t>Landtagsbeschluss vom 26.02.2013, Nr. 619</w:t>
      </w:r>
      <w:r w:rsidR="00285BAC">
        <w:rPr>
          <w:szCs w:val="22"/>
          <w:lang w:val="de-DE" w:eastAsia="en-US"/>
        </w:rPr>
        <w:t>)</w:t>
      </w:r>
      <w:r w:rsidR="004B2E37" w:rsidRPr="003B184D">
        <w:rPr>
          <w:szCs w:val="22"/>
          <w:lang w:val="de-DE" w:eastAsia="en-US"/>
        </w:rPr>
        <w:t xml:space="preserve"> freiwillig vereinigen, zu unterstützen. </w:t>
      </w:r>
    </w:p>
    <w:p w:rsidR="00F25564" w:rsidRPr="003B184D" w:rsidRDefault="00F25564" w:rsidP="001874D1">
      <w:pPr>
        <w:jc w:val="both"/>
        <w:rPr>
          <w:szCs w:val="22"/>
          <w:lang w:val="de-DE" w:eastAsia="en-US"/>
        </w:rPr>
      </w:pPr>
    </w:p>
    <w:p w:rsidR="00F25564" w:rsidRPr="003B184D" w:rsidRDefault="00F25564" w:rsidP="003B184D">
      <w:pPr>
        <w:overflowPunct/>
        <w:jc w:val="both"/>
        <w:textAlignment w:val="auto"/>
        <w:rPr>
          <w:rFonts w:ascii="TimesNewRomanPSMT" w:hAnsi="TimesNewRomanPSMT" w:cs="TimesNewRomanPSMT"/>
          <w:szCs w:val="22"/>
          <w:lang w:val="de-DE" w:eastAsia="de-AT"/>
        </w:rPr>
      </w:pPr>
      <w:r w:rsidRPr="003B184D">
        <w:rPr>
          <w:rFonts w:ascii="TimesNewRomanPSMT" w:hAnsi="TimesNewRomanPSMT" w:cs="TimesNewRomanPSMT"/>
          <w:szCs w:val="22"/>
          <w:lang w:val="de-DE" w:eastAsia="de-AT"/>
        </w:rPr>
        <w:t>Oberstes Ziel der Gemeindestrukturreform ist die Stärkung der zukünftigen Leistungsfähigkeit der Gemeinden zur Erfüllung der ihnen zugedachten Aufgaben und Funktionen zum Wohle der Bevölkerung. Die Gemeinden müssen dauerhaft in der Lage sein, auch in Zukunft ihre Aufgaben sachgerecht, effizient und in entsprechender Qualität zu erfüllen.</w:t>
      </w:r>
    </w:p>
    <w:p w:rsidR="00F25564" w:rsidRPr="003B184D" w:rsidRDefault="00F25564" w:rsidP="00F25564">
      <w:pPr>
        <w:overflowPunct/>
        <w:textAlignment w:val="auto"/>
        <w:rPr>
          <w:rFonts w:ascii="TimesNewRomanPSMT" w:hAnsi="TimesNewRomanPSMT" w:cs="TimesNewRomanPSMT"/>
          <w:szCs w:val="22"/>
          <w:lang w:val="de-DE" w:eastAsia="de-AT"/>
        </w:rPr>
      </w:pPr>
    </w:p>
    <w:p w:rsidR="004B2E37" w:rsidRDefault="001874D1" w:rsidP="001874D1">
      <w:pPr>
        <w:jc w:val="both"/>
        <w:rPr>
          <w:lang w:val="de-DE" w:eastAsia="en-US"/>
        </w:rPr>
      </w:pPr>
      <w:r>
        <w:rPr>
          <w:lang w:val="de-DE" w:eastAsia="en-US"/>
        </w:rPr>
        <w:t xml:space="preserve">Das Land Steiermark stellt </w:t>
      </w:r>
      <w:r w:rsidR="00D22C26">
        <w:rPr>
          <w:lang w:val="de-DE" w:eastAsia="en-US"/>
        </w:rPr>
        <w:t xml:space="preserve">daher </w:t>
      </w:r>
      <w:r>
        <w:rPr>
          <w:lang w:val="de-DE" w:eastAsia="en-US"/>
        </w:rPr>
        <w:t xml:space="preserve">für </w:t>
      </w:r>
      <w:r w:rsidR="00D22C26">
        <w:rPr>
          <w:lang w:val="de-DE" w:eastAsia="en-US"/>
        </w:rPr>
        <w:t>die</w:t>
      </w:r>
      <w:r>
        <w:rPr>
          <w:lang w:val="de-DE" w:eastAsia="en-US"/>
        </w:rPr>
        <w:t xml:space="preserve"> Gemeinden zur Bewältigung der Herausforderungen der Gemeindestrukturreform</w:t>
      </w:r>
      <w:r w:rsidR="001C24F3">
        <w:rPr>
          <w:lang w:val="de-DE" w:eastAsia="en-US"/>
        </w:rPr>
        <w:t>,</w:t>
      </w:r>
      <w:r>
        <w:rPr>
          <w:lang w:val="de-DE" w:eastAsia="en-US"/>
        </w:rPr>
        <w:t xml:space="preserve"> zusätzlich zu den Mitteln gemäß § 21 Abs</w:t>
      </w:r>
      <w:r w:rsidR="003E7E5E">
        <w:rPr>
          <w:lang w:val="de-DE" w:eastAsia="en-US"/>
        </w:rPr>
        <w:t>.</w:t>
      </w:r>
      <w:r>
        <w:rPr>
          <w:lang w:val="de-DE" w:eastAsia="en-US"/>
        </w:rPr>
        <w:t xml:space="preserve"> 9 Finanzausgleichsgesetz 2008 (Fusionsprämie)</w:t>
      </w:r>
      <w:r w:rsidR="00E424B5">
        <w:rPr>
          <w:lang w:val="de-DE" w:eastAsia="en-US"/>
        </w:rPr>
        <w:t>,</w:t>
      </w:r>
      <w:r>
        <w:rPr>
          <w:lang w:val="de-DE" w:eastAsia="en-US"/>
        </w:rPr>
        <w:t xml:space="preserve"> aus Budgetmitteln des Landes Steiermark (Reformfondsmittel) nicht rückzahlbare Zuschüsse zur Verfügung. Diese Zuschüsse werden den betreffenden Gemeinden auf Basis dieser Richtlinie mittels Regierungssitzungsbeschluss gewährt. Ein Rechtsanspruch der Gemeinden besteht nicht.</w:t>
      </w:r>
    </w:p>
    <w:p w:rsidR="00D22C26" w:rsidRDefault="00D22C26" w:rsidP="00D22C26">
      <w:pPr>
        <w:pStyle w:val="berschrift1"/>
      </w:pPr>
      <w:r>
        <w:t>Besondere Bestimmungen</w:t>
      </w:r>
    </w:p>
    <w:p w:rsidR="00D22C26" w:rsidRDefault="00D22C26" w:rsidP="00D22C26">
      <w:pPr>
        <w:rPr>
          <w:lang w:val="de-DE" w:eastAsia="en-US"/>
        </w:rPr>
      </w:pPr>
    </w:p>
    <w:p w:rsidR="00D22C26" w:rsidRDefault="00D22C26" w:rsidP="00D22C26">
      <w:pPr>
        <w:pStyle w:val="berschrift2"/>
      </w:pPr>
      <w:r>
        <w:t>Förderungswerber</w:t>
      </w:r>
    </w:p>
    <w:p w:rsidR="00D22C26" w:rsidRDefault="00D22C26" w:rsidP="00D22C26">
      <w:pPr>
        <w:rPr>
          <w:lang w:val="de-DE" w:eastAsia="en-US"/>
        </w:rPr>
      </w:pPr>
    </w:p>
    <w:p w:rsidR="00D22C26" w:rsidRDefault="00D22C26" w:rsidP="00D22C26">
      <w:pPr>
        <w:rPr>
          <w:lang w:val="de-DE" w:eastAsia="en-US"/>
        </w:rPr>
      </w:pPr>
      <w:r>
        <w:rPr>
          <w:lang w:val="de-DE" w:eastAsia="en-US"/>
        </w:rPr>
        <w:t>Zu den Förderungswerber</w:t>
      </w:r>
      <w:r w:rsidR="005B4F91">
        <w:rPr>
          <w:lang w:val="de-DE" w:eastAsia="en-US"/>
        </w:rPr>
        <w:t>n</w:t>
      </w:r>
      <w:r>
        <w:rPr>
          <w:lang w:val="de-DE" w:eastAsia="en-US"/>
        </w:rPr>
        <w:t xml:space="preserve"> auf Basis dieser Richtlinie</w:t>
      </w:r>
      <w:r w:rsidR="0053320F">
        <w:rPr>
          <w:lang w:val="de-DE" w:eastAsia="en-US"/>
        </w:rPr>
        <w:t>n</w:t>
      </w:r>
      <w:r>
        <w:rPr>
          <w:lang w:val="de-DE" w:eastAsia="en-US"/>
        </w:rPr>
        <w:t xml:space="preserve"> zählen,</w:t>
      </w:r>
    </w:p>
    <w:p w:rsidR="005B4F91" w:rsidRDefault="005B4F91" w:rsidP="00D22C26">
      <w:pPr>
        <w:rPr>
          <w:lang w:val="de-DE" w:eastAsia="en-US"/>
        </w:rPr>
      </w:pPr>
    </w:p>
    <w:p w:rsidR="00D22C26" w:rsidRDefault="00D22C26" w:rsidP="00017F09">
      <w:pPr>
        <w:ind w:left="360"/>
        <w:jc w:val="both"/>
        <w:rPr>
          <w:lang w:val="de-DE" w:eastAsia="en-US"/>
        </w:rPr>
      </w:pPr>
      <w:r w:rsidRPr="00017F09">
        <w:rPr>
          <w:lang w:val="de-DE" w:eastAsia="en-US"/>
        </w:rPr>
        <w:t xml:space="preserve">Gemeinden, die auf Basis der neuen Gemeindestruktur der Steiermark (Landtagsbeschluss vom 26.02.2013, Nr. 619) </w:t>
      </w:r>
    </w:p>
    <w:p w:rsidR="00017F09" w:rsidRPr="00017F09" w:rsidRDefault="00017F09" w:rsidP="00017F09">
      <w:pPr>
        <w:jc w:val="both"/>
        <w:rPr>
          <w:lang w:val="de-DE" w:eastAsia="en-US"/>
        </w:rPr>
      </w:pPr>
    </w:p>
    <w:p w:rsidR="00D22C26" w:rsidRDefault="00D22C26" w:rsidP="009B4BD9">
      <w:pPr>
        <w:pStyle w:val="Listenabsatz"/>
        <w:numPr>
          <w:ilvl w:val="1"/>
          <w:numId w:val="6"/>
        </w:numPr>
        <w:jc w:val="both"/>
        <w:rPr>
          <w:lang w:val="de-DE" w:eastAsia="en-US"/>
        </w:rPr>
      </w:pPr>
      <w:r>
        <w:rPr>
          <w:lang w:val="de-DE" w:eastAsia="en-US"/>
        </w:rPr>
        <w:t xml:space="preserve">bis spätestens am </w:t>
      </w:r>
      <w:r w:rsidR="00690D26">
        <w:rPr>
          <w:lang w:val="de-DE" w:eastAsia="en-US"/>
        </w:rPr>
        <w:t>30.09</w:t>
      </w:r>
      <w:r>
        <w:rPr>
          <w:lang w:val="de-DE" w:eastAsia="en-US"/>
        </w:rPr>
        <w:t xml:space="preserve">.2013 </w:t>
      </w:r>
      <w:r w:rsidR="009B4BD9">
        <w:rPr>
          <w:lang w:val="de-DE" w:eastAsia="en-US"/>
        </w:rPr>
        <w:t>einen Antrag</w:t>
      </w:r>
      <w:r>
        <w:rPr>
          <w:lang w:val="de-DE" w:eastAsia="en-US"/>
        </w:rPr>
        <w:t xml:space="preserve"> über </w:t>
      </w:r>
      <w:r w:rsidR="00983455">
        <w:rPr>
          <w:lang w:val="de-DE" w:eastAsia="en-US"/>
        </w:rPr>
        <w:t xml:space="preserve">die Genehmigung </w:t>
      </w:r>
      <w:r w:rsidR="003A2E8A">
        <w:rPr>
          <w:lang w:val="de-DE" w:eastAsia="en-US"/>
        </w:rPr>
        <w:t xml:space="preserve">der </w:t>
      </w:r>
      <w:r>
        <w:rPr>
          <w:lang w:val="de-DE" w:eastAsia="en-US"/>
        </w:rPr>
        <w:t>freiwillige</w:t>
      </w:r>
      <w:r w:rsidR="00983455">
        <w:rPr>
          <w:lang w:val="de-DE" w:eastAsia="en-US"/>
        </w:rPr>
        <w:t>n</w:t>
      </w:r>
      <w:r>
        <w:rPr>
          <w:lang w:val="de-DE" w:eastAsia="en-US"/>
        </w:rPr>
        <w:t xml:space="preserve"> Vereinigung samt übereinstimmende</w:t>
      </w:r>
      <w:r w:rsidR="00983455">
        <w:rPr>
          <w:lang w:val="de-DE" w:eastAsia="en-US"/>
        </w:rPr>
        <w:t>r</w:t>
      </w:r>
      <w:r w:rsidR="002441CB">
        <w:rPr>
          <w:lang w:val="de-DE" w:eastAsia="en-US"/>
        </w:rPr>
        <w:t>, formal gültiger,</w:t>
      </w:r>
      <w:r>
        <w:rPr>
          <w:lang w:val="de-DE" w:eastAsia="en-US"/>
        </w:rPr>
        <w:t xml:space="preserve"> Gemeinderatsbesch</w:t>
      </w:r>
      <w:r w:rsidR="00285BAC">
        <w:rPr>
          <w:lang w:val="de-DE" w:eastAsia="en-US"/>
        </w:rPr>
        <w:t>lüsse</w:t>
      </w:r>
      <w:r w:rsidR="00615508">
        <w:rPr>
          <w:lang w:val="de-DE" w:eastAsia="en-US"/>
        </w:rPr>
        <w:t xml:space="preserve"> dem</w:t>
      </w:r>
      <w:r>
        <w:rPr>
          <w:lang w:val="de-DE" w:eastAsia="en-US"/>
        </w:rPr>
        <w:t xml:space="preserve"> Amt der Steiermärkischen Landesregierung, Abteilung 7 Landes- und Gemeindeentwicklung</w:t>
      </w:r>
      <w:r w:rsidR="00615508">
        <w:rPr>
          <w:lang w:val="de-DE" w:eastAsia="en-US"/>
        </w:rPr>
        <w:t>,</w:t>
      </w:r>
      <w:r>
        <w:rPr>
          <w:lang w:val="de-DE" w:eastAsia="en-US"/>
        </w:rPr>
        <w:t xml:space="preserve"> übermittel</w:t>
      </w:r>
      <w:r w:rsidR="00615508">
        <w:rPr>
          <w:lang w:val="de-DE" w:eastAsia="en-US"/>
        </w:rPr>
        <w:t>t haben</w:t>
      </w:r>
      <w:r w:rsidR="00017F09">
        <w:rPr>
          <w:lang w:val="de-DE" w:eastAsia="en-US"/>
        </w:rPr>
        <w:t xml:space="preserve"> oder</w:t>
      </w:r>
    </w:p>
    <w:p w:rsidR="00017F09" w:rsidRDefault="00017F09" w:rsidP="00017F09">
      <w:pPr>
        <w:pStyle w:val="Listenabsatz"/>
        <w:jc w:val="both"/>
        <w:rPr>
          <w:lang w:val="de-DE" w:eastAsia="en-US"/>
        </w:rPr>
      </w:pPr>
    </w:p>
    <w:p w:rsidR="00615508" w:rsidRPr="00017F09" w:rsidRDefault="00615508" w:rsidP="00017F09">
      <w:pPr>
        <w:pStyle w:val="Listenabsatz"/>
        <w:numPr>
          <w:ilvl w:val="1"/>
          <w:numId w:val="6"/>
        </w:numPr>
        <w:jc w:val="both"/>
        <w:rPr>
          <w:lang w:val="de-DE" w:eastAsia="en-US"/>
        </w:rPr>
      </w:pPr>
      <w:r w:rsidRPr="00017F09">
        <w:rPr>
          <w:lang w:val="de-DE" w:eastAsia="en-US"/>
        </w:rPr>
        <w:t xml:space="preserve">bis spätestens am </w:t>
      </w:r>
      <w:r w:rsidR="00690D26">
        <w:rPr>
          <w:lang w:val="de-DE" w:eastAsia="en-US"/>
        </w:rPr>
        <w:t>30.09</w:t>
      </w:r>
      <w:r w:rsidRPr="00017F09">
        <w:rPr>
          <w:lang w:val="de-DE" w:eastAsia="en-US"/>
        </w:rPr>
        <w:t xml:space="preserve">.2013 einen </w:t>
      </w:r>
      <w:r w:rsidR="009B4BD9" w:rsidRPr="00017F09">
        <w:rPr>
          <w:lang w:val="de-DE" w:eastAsia="en-US"/>
        </w:rPr>
        <w:t xml:space="preserve">entsprechenden, </w:t>
      </w:r>
      <w:r w:rsidR="002441CB">
        <w:rPr>
          <w:lang w:val="de-DE" w:eastAsia="en-US"/>
        </w:rPr>
        <w:t>formal gültigen</w:t>
      </w:r>
      <w:r w:rsidR="00BA2FEC">
        <w:rPr>
          <w:lang w:val="de-DE" w:eastAsia="en-US"/>
        </w:rPr>
        <w:t xml:space="preserve"> </w:t>
      </w:r>
      <w:r w:rsidRPr="00017F09">
        <w:rPr>
          <w:lang w:val="de-DE" w:eastAsia="en-US"/>
        </w:rPr>
        <w:t xml:space="preserve">Gemeinderatsbeschluss über eine </w:t>
      </w:r>
      <w:r w:rsidR="009B4BD9" w:rsidRPr="00017F09">
        <w:rPr>
          <w:lang w:val="de-DE" w:eastAsia="en-US"/>
        </w:rPr>
        <w:t xml:space="preserve">freiwillige </w:t>
      </w:r>
      <w:r w:rsidRPr="00017F09">
        <w:rPr>
          <w:lang w:val="de-DE" w:eastAsia="en-US"/>
        </w:rPr>
        <w:t>Vereinigung dem Amt der Steiermärkischen Landesregierung, Abteilung 7 Landes- und Gemeindeentwicklung, übermittelt haben.</w:t>
      </w:r>
    </w:p>
    <w:p w:rsidR="009B4BD9" w:rsidRDefault="009B4BD9" w:rsidP="009B4BD9">
      <w:pPr>
        <w:jc w:val="both"/>
        <w:rPr>
          <w:lang w:val="de-DE" w:eastAsia="en-US"/>
        </w:rPr>
      </w:pPr>
    </w:p>
    <w:p w:rsidR="00AA4E4C" w:rsidRDefault="00AA4E4C" w:rsidP="009B4BD9">
      <w:pPr>
        <w:jc w:val="both"/>
        <w:rPr>
          <w:lang w:val="de-DE" w:eastAsia="en-US"/>
        </w:rPr>
      </w:pPr>
      <w:r>
        <w:rPr>
          <w:lang w:val="de-DE" w:eastAsia="en-US"/>
        </w:rPr>
        <w:t xml:space="preserve">In Ausnahmefällen kann von der neuen Gemeindestruktur der Steiermark (Landtagsbeschluss vom 26.02.2013, Nr. 619) </w:t>
      </w:r>
      <w:r w:rsidR="00285BAC">
        <w:rPr>
          <w:lang w:val="de-DE" w:eastAsia="en-US"/>
        </w:rPr>
        <w:t>abgewichen</w:t>
      </w:r>
      <w:r>
        <w:rPr>
          <w:lang w:val="de-DE" w:eastAsia="en-US"/>
        </w:rPr>
        <w:t xml:space="preserve"> werden. Diese Ausnahmefälle sind im jeweiligen </w:t>
      </w:r>
      <w:r w:rsidR="003A2E8A">
        <w:rPr>
          <w:lang w:val="de-DE" w:eastAsia="en-US"/>
        </w:rPr>
        <w:t xml:space="preserve">Regierungssitzungsantrag </w:t>
      </w:r>
      <w:r>
        <w:rPr>
          <w:lang w:val="de-DE" w:eastAsia="en-US"/>
        </w:rPr>
        <w:t xml:space="preserve">zu begründen. </w:t>
      </w:r>
    </w:p>
    <w:p w:rsidR="002441CB" w:rsidRDefault="002441CB" w:rsidP="009B4BD9">
      <w:pPr>
        <w:jc w:val="both"/>
        <w:rPr>
          <w:lang w:val="de-DE" w:eastAsia="en-US"/>
        </w:rPr>
      </w:pPr>
    </w:p>
    <w:p w:rsidR="009B4BD9" w:rsidRDefault="009B4BD9" w:rsidP="009B4BD9">
      <w:pPr>
        <w:pStyle w:val="berschrift2"/>
      </w:pPr>
      <w:r>
        <w:t>Förderungsgegenst</w:t>
      </w:r>
      <w:r w:rsidR="002A5A93">
        <w:t>ände</w:t>
      </w:r>
    </w:p>
    <w:p w:rsidR="009B4BD9" w:rsidRDefault="009B4BD9" w:rsidP="009B4BD9">
      <w:pPr>
        <w:rPr>
          <w:lang w:val="de-DE" w:eastAsia="en-US"/>
        </w:rPr>
      </w:pPr>
    </w:p>
    <w:p w:rsidR="009B4BD9" w:rsidRPr="006A57C7" w:rsidRDefault="009B4BD9" w:rsidP="009B4BD9">
      <w:pPr>
        <w:jc w:val="both"/>
        <w:rPr>
          <w:color w:val="000000" w:themeColor="text1"/>
          <w:lang w:val="de-DE" w:eastAsia="en-US"/>
        </w:rPr>
      </w:pPr>
      <w:r w:rsidRPr="006A57C7">
        <w:rPr>
          <w:color w:val="000000" w:themeColor="text1"/>
          <w:lang w:val="de-DE" w:eastAsia="en-US"/>
        </w:rPr>
        <w:t xml:space="preserve">Zur Bewältigung der Herausforderungen der Gemeindestrukturreform </w:t>
      </w:r>
      <w:r w:rsidR="006A0BEE" w:rsidRPr="006A57C7">
        <w:rPr>
          <w:color w:val="000000" w:themeColor="text1"/>
          <w:lang w:val="de-DE" w:eastAsia="en-US"/>
        </w:rPr>
        <w:t xml:space="preserve">können </w:t>
      </w:r>
      <w:r w:rsidRPr="006A57C7">
        <w:rPr>
          <w:color w:val="000000" w:themeColor="text1"/>
          <w:lang w:val="de-DE" w:eastAsia="en-US"/>
        </w:rPr>
        <w:t xml:space="preserve">dem Förderungswerber </w:t>
      </w:r>
      <w:r w:rsidR="002441CB">
        <w:rPr>
          <w:color w:val="000000" w:themeColor="text1"/>
          <w:lang w:val="de-DE" w:eastAsia="en-US"/>
        </w:rPr>
        <w:t xml:space="preserve">Reformfondsmittel für </w:t>
      </w:r>
      <w:r w:rsidR="006A0BEE" w:rsidRPr="006A57C7">
        <w:rPr>
          <w:color w:val="000000" w:themeColor="text1"/>
          <w:lang w:val="de-DE" w:eastAsia="en-US"/>
        </w:rPr>
        <w:t>vorzeitige Darlehenstilgungen,</w:t>
      </w:r>
      <w:r w:rsidR="00647CEB">
        <w:rPr>
          <w:color w:val="000000" w:themeColor="text1"/>
          <w:lang w:val="de-DE" w:eastAsia="en-US"/>
        </w:rPr>
        <w:t xml:space="preserve"> unbedeckte </w:t>
      </w:r>
      <w:r w:rsidR="002441CB">
        <w:rPr>
          <w:color w:val="000000" w:themeColor="text1"/>
          <w:lang w:val="de-DE" w:eastAsia="en-US"/>
        </w:rPr>
        <w:t>Vorhaben</w:t>
      </w:r>
      <w:r w:rsidR="00647CEB">
        <w:rPr>
          <w:color w:val="000000" w:themeColor="text1"/>
          <w:lang w:val="de-DE" w:eastAsia="en-US"/>
        </w:rPr>
        <w:t xml:space="preserve"> im </w:t>
      </w:r>
      <w:proofErr w:type="spellStart"/>
      <w:r w:rsidR="00647CEB">
        <w:rPr>
          <w:color w:val="000000" w:themeColor="text1"/>
          <w:lang w:val="de-DE" w:eastAsia="en-US"/>
        </w:rPr>
        <w:t>a.o</w:t>
      </w:r>
      <w:proofErr w:type="spellEnd"/>
      <w:r w:rsidR="00647CEB">
        <w:rPr>
          <w:color w:val="000000" w:themeColor="text1"/>
          <w:lang w:val="de-DE" w:eastAsia="en-US"/>
        </w:rPr>
        <w:t>. Haushalt</w:t>
      </w:r>
      <w:r w:rsidR="006A0BEE" w:rsidRPr="006A57C7">
        <w:rPr>
          <w:color w:val="000000" w:themeColor="text1"/>
          <w:lang w:val="de-DE" w:eastAsia="en-US"/>
        </w:rPr>
        <w:t xml:space="preserve"> </w:t>
      </w:r>
      <w:r w:rsidR="007B56D5" w:rsidRPr="006A57C7">
        <w:rPr>
          <w:color w:val="000000" w:themeColor="text1"/>
          <w:lang w:val="de-DE" w:eastAsia="en-US"/>
        </w:rPr>
        <w:t>und/</w:t>
      </w:r>
      <w:r w:rsidRPr="006A57C7">
        <w:rPr>
          <w:color w:val="000000" w:themeColor="text1"/>
          <w:lang w:val="de-DE" w:eastAsia="en-US"/>
        </w:rPr>
        <w:t>oder eine Projektförderung gewährt werden. In diesem Zusammenhang sind die Richtlinien über die Gewährung von Bedarfszuweisungen, Infrastrukturmitteln und Beihilfen aus dem Landesschulbaufonds an Gemeinden vom 19.01.2009 (Regierungssitzungsbeschluss vom 19.01.20</w:t>
      </w:r>
      <w:r w:rsidR="006A0BEE" w:rsidRPr="006A57C7">
        <w:rPr>
          <w:color w:val="000000" w:themeColor="text1"/>
          <w:lang w:val="de-DE" w:eastAsia="en-US"/>
        </w:rPr>
        <w:t>09</w:t>
      </w:r>
      <w:r w:rsidRPr="006A57C7">
        <w:rPr>
          <w:color w:val="000000" w:themeColor="text1"/>
          <w:lang w:val="de-DE" w:eastAsia="en-US"/>
        </w:rPr>
        <w:t>, GZ: FA7A-471-4/20</w:t>
      </w:r>
      <w:r w:rsidR="006A0BEE" w:rsidRPr="006A57C7">
        <w:rPr>
          <w:color w:val="000000" w:themeColor="text1"/>
          <w:lang w:val="de-DE" w:eastAsia="en-US"/>
        </w:rPr>
        <w:t>09</w:t>
      </w:r>
      <w:r w:rsidRPr="006A57C7">
        <w:rPr>
          <w:color w:val="000000" w:themeColor="text1"/>
          <w:lang w:val="de-DE" w:eastAsia="en-US"/>
        </w:rPr>
        <w:t xml:space="preserve">-12) sinngemäß heranzuziehen. </w:t>
      </w:r>
    </w:p>
    <w:p w:rsidR="002A5A93" w:rsidRDefault="002A5A93" w:rsidP="009B4BD9">
      <w:pPr>
        <w:jc w:val="both"/>
        <w:rPr>
          <w:lang w:val="de-DE" w:eastAsia="en-US"/>
        </w:rPr>
      </w:pPr>
    </w:p>
    <w:p w:rsidR="002A5A93" w:rsidRDefault="002A5A93" w:rsidP="002A5A93">
      <w:pPr>
        <w:pStyle w:val="berschrift2"/>
      </w:pPr>
      <w:r>
        <w:lastRenderedPageBreak/>
        <w:t>Förderungshöhe</w:t>
      </w:r>
    </w:p>
    <w:p w:rsidR="002A5A93" w:rsidRDefault="002A5A93" w:rsidP="002A5A93">
      <w:pPr>
        <w:rPr>
          <w:lang w:val="de-DE" w:eastAsia="en-US"/>
        </w:rPr>
      </w:pPr>
    </w:p>
    <w:p w:rsidR="002A5A93" w:rsidRDefault="002A5A93" w:rsidP="00EE0618">
      <w:pPr>
        <w:jc w:val="both"/>
        <w:rPr>
          <w:lang w:val="de-DE" w:eastAsia="en-US"/>
        </w:rPr>
      </w:pPr>
      <w:r>
        <w:rPr>
          <w:lang w:val="de-DE" w:eastAsia="en-US"/>
        </w:rPr>
        <w:t>Die maximale Förderungshöhe ergibt sich aus zwei Komponenten, einem Sockelbetrag und gegebenenfalls einem Zuschla</w:t>
      </w:r>
      <w:r w:rsidR="00EE0618">
        <w:rPr>
          <w:lang w:val="de-DE" w:eastAsia="en-US"/>
        </w:rPr>
        <w:t>g zum Sockelbetrag je Einwohner:</w:t>
      </w:r>
      <w:r>
        <w:rPr>
          <w:lang w:val="de-DE" w:eastAsia="en-US"/>
        </w:rPr>
        <w:t xml:space="preserve"> </w:t>
      </w:r>
    </w:p>
    <w:p w:rsidR="002A5A93" w:rsidRDefault="002A5A93" w:rsidP="00EE0618">
      <w:pPr>
        <w:jc w:val="both"/>
        <w:rPr>
          <w:lang w:val="de-DE" w:eastAsia="en-US"/>
        </w:rPr>
      </w:pPr>
    </w:p>
    <w:p w:rsidR="002A5A93" w:rsidRPr="002441CB" w:rsidRDefault="002A5A93" w:rsidP="002441CB">
      <w:pPr>
        <w:pStyle w:val="Listenabsatz"/>
        <w:numPr>
          <w:ilvl w:val="0"/>
          <w:numId w:val="9"/>
        </w:numPr>
        <w:jc w:val="both"/>
        <w:rPr>
          <w:lang w:val="de-DE" w:eastAsia="en-US"/>
        </w:rPr>
      </w:pPr>
      <w:r w:rsidRPr="002441CB">
        <w:rPr>
          <w:lang w:val="de-DE" w:eastAsia="en-US"/>
        </w:rPr>
        <w:t>Die maximale Förderungshöhe errechnet sich für Förderungswerber, die bis zum 31.12.2012 mit Beschluss des Gemeinderates die Absicht erklärt haben, sich mit Wirkung vom 01.01.2015 freiwillig mit einer oder mehreren angrenzender Gemeinden zu vereinigen, wie folgt:</w:t>
      </w:r>
    </w:p>
    <w:p w:rsidR="002A5A93" w:rsidRDefault="002A5A93" w:rsidP="002A5A93">
      <w:pPr>
        <w:rPr>
          <w:lang w:val="de-DE" w:eastAsia="en-US"/>
        </w:rPr>
      </w:pPr>
    </w:p>
    <w:p w:rsidR="002A5A93" w:rsidRDefault="002A5A93" w:rsidP="009E2EFD">
      <w:pPr>
        <w:pStyle w:val="Listenabsatz"/>
        <w:numPr>
          <w:ilvl w:val="0"/>
          <w:numId w:val="10"/>
        </w:numPr>
        <w:ind w:left="1134" w:hanging="425"/>
        <w:rPr>
          <w:lang w:val="de-DE" w:eastAsia="en-US"/>
        </w:rPr>
      </w:pPr>
      <w:r>
        <w:rPr>
          <w:lang w:val="de-DE" w:eastAsia="en-US"/>
        </w:rPr>
        <w:t>Sockelbetrag in Höhe von € 50.000,00 pro Förderungswerber zuzüglich</w:t>
      </w:r>
    </w:p>
    <w:p w:rsidR="002A5A93" w:rsidRDefault="002A5A93" w:rsidP="009E2EFD">
      <w:pPr>
        <w:pStyle w:val="Listenabsatz"/>
        <w:numPr>
          <w:ilvl w:val="0"/>
          <w:numId w:val="10"/>
        </w:numPr>
        <w:ind w:left="1134" w:hanging="425"/>
        <w:rPr>
          <w:lang w:val="de-DE" w:eastAsia="en-US"/>
        </w:rPr>
      </w:pPr>
      <w:r>
        <w:rPr>
          <w:lang w:val="de-DE" w:eastAsia="en-US"/>
        </w:rPr>
        <w:t xml:space="preserve">eines Zuschlages in Höhe von € </w:t>
      </w:r>
      <w:r w:rsidR="00690D26">
        <w:rPr>
          <w:lang w:val="de-DE" w:eastAsia="en-US"/>
        </w:rPr>
        <w:t>50,00</w:t>
      </w:r>
      <w:r>
        <w:rPr>
          <w:lang w:val="de-DE" w:eastAsia="en-US"/>
        </w:rPr>
        <w:t xml:space="preserve"> pro Einwohner dieses Förderungswerbers zum Stichtag 31.10.201</w:t>
      </w:r>
      <w:r w:rsidR="00690D26">
        <w:rPr>
          <w:lang w:val="de-DE" w:eastAsia="en-US"/>
        </w:rPr>
        <w:t>1</w:t>
      </w:r>
      <w:r>
        <w:rPr>
          <w:lang w:val="de-DE" w:eastAsia="en-US"/>
        </w:rPr>
        <w:t xml:space="preserve"> (Verlautbarung der Statistik Austria gemäß § 9 </w:t>
      </w:r>
      <w:proofErr w:type="spellStart"/>
      <w:r>
        <w:rPr>
          <w:lang w:val="de-DE" w:eastAsia="en-US"/>
        </w:rPr>
        <w:t>Abs</w:t>
      </w:r>
      <w:proofErr w:type="spellEnd"/>
      <w:r>
        <w:rPr>
          <w:lang w:val="de-DE" w:eastAsia="en-US"/>
        </w:rPr>
        <w:t xml:space="preserve"> 9 </w:t>
      </w:r>
      <w:proofErr w:type="spellStart"/>
      <w:r>
        <w:rPr>
          <w:lang w:val="de-DE" w:eastAsia="en-US"/>
        </w:rPr>
        <w:t>Finanzausgleichs</w:t>
      </w:r>
      <w:r>
        <w:rPr>
          <w:lang w:val="de-DE" w:eastAsia="en-US"/>
        </w:rPr>
        <w:softHyphen/>
        <w:t>gesetz</w:t>
      </w:r>
      <w:proofErr w:type="spellEnd"/>
      <w:r w:rsidR="0058794C">
        <w:rPr>
          <w:lang w:val="de-DE" w:eastAsia="en-US"/>
        </w:rPr>
        <w:t xml:space="preserve"> </w:t>
      </w:r>
      <w:r>
        <w:rPr>
          <w:lang w:val="de-DE" w:eastAsia="en-US"/>
        </w:rPr>
        <w:t>2008</w:t>
      </w:r>
      <w:r w:rsidR="00EE0618">
        <w:rPr>
          <w:lang w:val="de-DE" w:eastAsia="en-US"/>
        </w:rPr>
        <w:t>)</w:t>
      </w:r>
      <w:r>
        <w:rPr>
          <w:lang w:val="de-DE" w:eastAsia="en-US"/>
        </w:rPr>
        <w:t>, jedoch</w:t>
      </w:r>
    </w:p>
    <w:p w:rsidR="002A5A93" w:rsidRDefault="002A5A93" w:rsidP="009E2EFD">
      <w:pPr>
        <w:pStyle w:val="Listenabsatz"/>
        <w:numPr>
          <w:ilvl w:val="0"/>
          <w:numId w:val="10"/>
        </w:numPr>
        <w:ind w:left="1134" w:hanging="425"/>
        <w:rPr>
          <w:lang w:val="de-DE" w:eastAsia="en-US"/>
        </w:rPr>
      </w:pPr>
      <w:r>
        <w:rPr>
          <w:lang w:val="de-DE" w:eastAsia="en-US"/>
        </w:rPr>
        <w:t>maximal € 200.000,00 pro Förderungswerber</w:t>
      </w:r>
      <w:r w:rsidR="00EE0618">
        <w:rPr>
          <w:lang w:val="de-DE" w:eastAsia="en-US"/>
        </w:rPr>
        <w:t>.</w:t>
      </w:r>
    </w:p>
    <w:p w:rsidR="00EE0618" w:rsidRDefault="00EE0618" w:rsidP="00EE0618">
      <w:pPr>
        <w:rPr>
          <w:lang w:val="de-DE" w:eastAsia="en-US"/>
        </w:rPr>
      </w:pPr>
    </w:p>
    <w:p w:rsidR="00EE0618" w:rsidRPr="002441CB" w:rsidRDefault="00EE0618" w:rsidP="002441CB">
      <w:pPr>
        <w:pStyle w:val="Listenabsatz"/>
        <w:numPr>
          <w:ilvl w:val="0"/>
          <w:numId w:val="9"/>
        </w:numPr>
        <w:rPr>
          <w:lang w:val="de-DE" w:eastAsia="en-US"/>
        </w:rPr>
      </w:pPr>
      <w:r w:rsidRPr="002441CB">
        <w:rPr>
          <w:lang w:val="de-DE" w:eastAsia="en-US"/>
        </w:rPr>
        <w:t>Für die übrigen Förderungswerber bemisst sich die maximale Förderungshöhe, wie folgt:</w:t>
      </w:r>
    </w:p>
    <w:p w:rsidR="00EE0618" w:rsidRDefault="00EE0618" w:rsidP="00EE0618">
      <w:pPr>
        <w:rPr>
          <w:lang w:val="de-DE" w:eastAsia="en-US"/>
        </w:rPr>
      </w:pPr>
    </w:p>
    <w:p w:rsidR="00EE0618" w:rsidRDefault="00EE0618" w:rsidP="009E2EFD">
      <w:pPr>
        <w:pStyle w:val="Listenabsatz"/>
        <w:numPr>
          <w:ilvl w:val="0"/>
          <w:numId w:val="10"/>
        </w:numPr>
        <w:ind w:left="1134" w:hanging="425"/>
        <w:rPr>
          <w:lang w:val="de-DE" w:eastAsia="en-US"/>
        </w:rPr>
      </w:pPr>
      <w:r>
        <w:rPr>
          <w:lang w:val="de-DE" w:eastAsia="en-US"/>
        </w:rPr>
        <w:t>Sockelbetrag in Höhe von € 50.000,00 pro Förderungswerber</w:t>
      </w:r>
    </w:p>
    <w:p w:rsidR="00EE0618" w:rsidRDefault="00EE0618" w:rsidP="00EE0618">
      <w:pPr>
        <w:rPr>
          <w:lang w:val="de-DE" w:eastAsia="en-US"/>
        </w:rPr>
      </w:pPr>
    </w:p>
    <w:p w:rsidR="00EE0618" w:rsidRDefault="00EE0618" w:rsidP="00EE0618">
      <w:pPr>
        <w:jc w:val="both"/>
        <w:rPr>
          <w:lang w:val="de-DE" w:eastAsia="en-US"/>
        </w:rPr>
      </w:pPr>
      <w:r>
        <w:rPr>
          <w:lang w:val="de-DE" w:eastAsia="en-US"/>
        </w:rPr>
        <w:t xml:space="preserve">In Ausnahmefällen kann von der Deckelung der Förderungshöhe pro Förderungswerber Abstand genommen werden. Diese Ausnahmefälle sind in </w:t>
      </w:r>
      <w:r w:rsidR="003A2E8A">
        <w:rPr>
          <w:lang w:val="de-DE" w:eastAsia="en-US"/>
        </w:rPr>
        <w:t xml:space="preserve">dem </w:t>
      </w:r>
      <w:r>
        <w:rPr>
          <w:lang w:val="de-DE" w:eastAsia="en-US"/>
        </w:rPr>
        <w:t xml:space="preserve">jeweiligen </w:t>
      </w:r>
      <w:r w:rsidR="003A2E8A">
        <w:rPr>
          <w:lang w:val="de-DE" w:eastAsia="en-US"/>
        </w:rPr>
        <w:t xml:space="preserve">Regierungssitzungsantrag </w:t>
      </w:r>
      <w:r>
        <w:rPr>
          <w:lang w:val="de-DE" w:eastAsia="en-US"/>
        </w:rPr>
        <w:t xml:space="preserve">entsprechend zu begründen. </w:t>
      </w:r>
    </w:p>
    <w:p w:rsidR="00EE0618" w:rsidRDefault="00EE0618" w:rsidP="00EE0618">
      <w:pPr>
        <w:jc w:val="both"/>
        <w:rPr>
          <w:lang w:val="de-DE" w:eastAsia="en-US"/>
        </w:rPr>
      </w:pPr>
    </w:p>
    <w:p w:rsidR="00EE0618" w:rsidRDefault="00EE0618" w:rsidP="00EE0618">
      <w:pPr>
        <w:pStyle w:val="berschrift2"/>
      </w:pPr>
      <w:r>
        <w:t>Förderungsstelle – Einreichstelle</w:t>
      </w:r>
    </w:p>
    <w:p w:rsidR="00EE0618" w:rsidRDefault="00EE0618" w:rsidP="00EE0618">
      <w:pPr>
        <w:rPr>
          <w:lang w:val="de-DE" w:eastAsia="en-US"/>
        </w:rPr>
      </w:pPr>
    </w:p>
    <w:p w:rsidR="006D63BE" w:rsidRDefault="00EE0618" w:rsidP="006D63BE">
      <w:pPr>
        <w:jc w:val="both"/>
        <w:rPr>
          <w:lang w:val="de-DE" w:eastAsia="en-US"/>
        </w:rPr>
      </w:pPr>
      <w:r>
        <w:rPr>
          <w:lang w:val="de-DE" w:eastAsia="en-US"/>
        </w:rPr>
        <w:t xml:space="preserve">Förderungsansuchen können auf dem dafür vorgesehenen Formular des Amtes der Steiermärkischen Landesregierung, Abteilung 7, </w:t>
      </w:r>
      <w:r w:rsidR="006D63BE">
        <w:rPr>
          <w:lang w:val="de-DE" w:eastAsia="en-US"/>
        </w:rPr>
        <w:t xml:space="preserve">Fachabteilung Gemeinden, Wahlen und Ländlicher Wegebau, </w:t>
      </w:r>
      <w:r>
        <w:rPr>
          <w:lang w:val="de-DE" w:eastAsia="en-US"/>
        </w:rPr>
        <w:t>(</w:t>
      </w:r>
      <w:r w:rsidR="006D63BE">
        <w:rPr>
          <w:lang w:val="de-DE" w:eastAsia="en-US"/>
        </w:rPr>
        <w:t>FAGW</w:t>
      </w:r>
      <w:r>
        <w:rPr>
          <w:lang w:val="de-DE" w:eastAsia="en-US"/>
        </w:rPr>
        <w:t xml:space="preserve">) unmittelbar durch den Förderungswerber bei der </w:t>
      </w:r>
      <w:r w:rsidR="008D7FBF">
        <w:rPr>
          <w:lang w:val="de-DE" w:eastAsia="en-US"/>
        </w:rPr>
        <w:t xml:space="preserve">Abteilung 7 Landes- und Gemeindeentwicklung, </w:t>
      </w:r>
      <w:proofErr w:type="spellStart"/>
      <w:r w:rsidR="008D7FBF">
        <w:rPr>
          <w:lang w:val="de-DE" w:eastAsia="en-US"/>
        </w:rPr>
        <w:t>Stempfergasse</w:t>
      </w:r>
      <w:proofErr w:type="spellEnd"/>
      <w:r w:rsidR="008D7FBF">
        <w:rPr>
          <w:lang w:val="de-DE" w:eastAsia="en-US"/>
        </w:rPr>
        <w:t xml:space="preserve"> 7, 8010 Graz </w:t>
      </w:r>
      <w:r>
        <w:rPr>
          <w:lang w:val="de-DE" w:eastAsia="en-US"/>
        </w:rPr>
        <w:t xml:space="preserve">eingebracht werden. </w:t>
      </w:r>
      <w:r w:rsidR="006D63BE">
        <w:rPr>
          <w:lang w:val="de-DE" w:eastAsia="en-US"/>
        </w:rPr>
        <w:t xml:space="preserve">Dem Förderungsansuchen ist eine </w:t>
      </w:r>
      <w:r w:rsidR="002441CB">
        <w:rPr>
          <w:lang w:val="de-DE" w:eastAsia="en-US"/>
        </w:rPr>
        <w:t xml:space="preserve">gemeinsame </w:t>
      </w:r>
      <w:r w:rsidR="006D63BE">
        <w:rPr>
          <w:lang w:val="de-DE" w:eastAsia="en-US"/>
        </w:rPr>
        <w:t xml:space="preserve">schriftliche Vereinbarung der sich freiwillig vereinigenden Förderungswerber über die Verwendung der Zuschüsse (Reformfondsmittel) vom jeweiligen Förderungswerber beizuschließen. </w:t>
      </w:r>
    </w:p>
    <w:p w:rsidR="009E2EFD" w:rsidRDefault="009E2EFD" w:rsidP="006D63BE">
      <w:pPr>
        <w:jc w:val="both"/>
        <w:rPr>
          <w:lang w:val="de-DE" w:eastAsia="en-US"/>
        </w:rPr>
      </w:pPr>
    </w:p>
    <w:p w:rsidR="00EE0618" w:rsidRDefault="006D63BE" w:rsidP="006D63BE">
      <w:pPr>
        <w:jc w:val="both"/>
        <w:rPr>
          <w:lang w:val="de-DE" w:eastAsia="en-US"/>
        </w:rPr>
      </w:pPr>
      <w:r>
        <w:rPr>
          <w:lang w:val="de-DE" w:eastAsia="en-US"/>
        </w:rPr>
        <w:t>Das Förderungsansuchen</w:t>
      </w:r>
      <w:r w:rsidR="00EE0618">
        <w:rPr>
          <w:lang w:val="de-DE" w:eastAsia="en-US"/>
        </w:rPr>
        <w:t xml:space="preserve"> </w:t>
      </w:r>
      <w:r>
        <w:rPr>
          <w:lang w:val="de-DE" w:eastAsia="en-US"/>
        </w:rPr>
        <w:t>steht</w:t>
      </w:r>
      <w:r w:rsidR="00EE0618">
        <w:rPr>
          <w:lang w:val="de-DE" w:eastAsia="en-US"/>
        </w:rPr>
        <w:t xml:space="preserve"> auf der Homepage </w:t>
      </w:r>
      <w:r>
        <w:rPr>
          <w:lang w:val="de-DE" w:eastAsia="en-US"/>
        </w:rPr>
        <w:t xml:space="preserve">für die Gemeindestrukturreform Steiermark </w:t>
      </w:r>
      <w:r w:rsidR="00EE0618">
        <w:rPr>
          <w:lang w:val="de-DE" w:eastAsia="en-US"/>
        </w:rPr>
        <w:t xml:space="preserve">unter der Internetadresse </w:t>
      </w:r>
      <w:hyperlink r:id="rId13" w:history="1">
        <w:r w:rsidR="000B0A1D" w:rsidRPr="00BB5A1C">
          <w:rPr>
            <w:rStyle w:val="Hyperlink"/>
            <w:lang w:val="de-DE" w:eastAsia="en-US"/>
          </w:rPr>
          <w:t>www.gemeindestrukturreform.steiermark.at</w:t>
        </w:r>
      </w:hyperlink>
      <w:r w:rsidR="00EE0618">
        <w:rPr>
          <w:lang w:val="de-DE" w:eastAsia="en-US"/>
        </w:rPr>
        <w:t xml:space="preserve"> zur Verfügung. </w:t>
      </w:r>
    </w:p>
    <w:p w:rsidR="00EE0618" w:rsidRDefault="00EE0618" w:rsidP="00EE0618">
      <w:pPr>
        <w:rPr>
          <w:lang w:val="de-DE" w:eastAsia="en-US"/>
        </w:rPr>
      </w:pPr>
    </w:p>
    <w:p w:rsidR="00EE0618" w:rsidRDefault="00EE0618" w:rsidP="00EE0618">
      <w:pPr>
        <w:pStyle w:val="berschrift2"/>
      </w:pPr>
      <w:r>
        <w:t xml:space="preserve">Laufzeit der </w:t>
      </w:r>
      <w:r w:rsidR="006D63BE">
        <w:t>Richtlinie</w:t>
      </w:r>
      <w:r w:rsidR="0099228A">
        <w:t>n</w:t>
      </w:r>
    </w:p>
    <w:p w:rsidR="00EE0618" w:rsidRDefault="00EE0618" w:rsidP="00EE0618">
      <w:pPr>
        <w:rPr>
          <w:lang w:val="de-DE" w:eastAsia="en-US"/>
        </w:rPr>
      </w:pPr>
    </w:p>
    <w:p w:rsidR="00EE0618" w:rsidRDefault="007B56D5" w:rsidP="003C6D4A">
      <w:pPr>
        <w:jc w:val="both"/>
        <w:rPr>
          <w:lang w:val="de-DE" w:eastAsia="en-US"/>
        </w:rPr>
      </w:pPr>
      <w:r>
        <w:rPr>
          <w:lang w:val="de-DE" w:eastAsia="en-US"/>
        </w:rPr>
        <w:t xml:space="preserve">Die Laufzeit dieser Richtlinien </w:t>
      </w:r>
      <w:r w:rsidR="003C6D4A">
        <w:rPr>
          <w:lang w:val="de-DE" w:eastAsia="en-US"/>
        </w:rPr>
        <w:t xml:space="preserve">erstreckt sich – vorbehaltlich einer vorzeitigen Revision – </w:t>
      </w:r>
      <w:r w:rsidR="006D63BE">
        <w:rPr>
          <w:lang w:val="de-DE" w:eastAsia="en-US"/>
        </w:rPr>
        <w:t>beginnend mit</w:t>
      </w:r>
      <w:r w:rsidR="003C6D4A">
        <w:rPr>
          <w:lang w:val="de-DE" w:eastAsia="en-US"/>
        </w:rPr>
        <w:t xml:space="preserve"> Beschluss dieser Richtlinie</w:t>
      </w:r>
      <w:r>
        <w:rPr>
          <w:lang w:val="de-DE" w:eastAsia="en-US"/>
        </w:rPr>
        <w:t>n</w:t>
      </w:r>
      <w:r w:rsidR="003C6D4A">
        <w:rPr>
          <w:lang w:val="de-DE" w:eastAsia="en-US"/>
        </w:rPr>
        <w:t xml:space="preserve"> durch die Steiermärkische Landesregierung bis 31.12.2014. Eine Antragstellung im Rahmen dieser </w:t>
      </w:r>
      <w:r>
        <w:rPr>
          <w:lang w:val="de-DE" w:eastAsia="en-US"/>
        </w:rPr>
        <w:t>Richtlinien</w:t>
      </w:r>
      <w:r w:rsidR="003C6D4A">
        <w:rPr>
          <w:lang w:val="de-DE" w:eastAsia="en-US"/>
        </w:rPr>
        <w:t xml:space="preserve"> ist längstens bis </w:t>
      </w:r>
      <w:r w:rsidR="000B0A1D">
        <w:rPr>
          <w:color w:val="000000" w:themeColor="text1"/>
          <w:lang w:val="de-DE" w:eastAsia="en-US"/>
        </w:rPr>
        <w:t>30.09</w:t>
      </w:r>
      <w:r w:rsidR="006D63BE" w:rsidRPr="006A57C7">
        <w:rPr>
          <w:color w:val="000000" w:themeColor="text1"/>
          <w:lang w:val="de-DE" w:eastAsia="en-US"/>
        </w:rPr>
        <w:t>.2013</w:t>
      </w:r>
      <w:r w:rsidR="003C6D4A">
        <w:rPr>
          <w:lang w:val="de-DE" w:eastAsia="en-US"/>
        </w:rPr>
        <w:t xml:space="preserve"> (einlangend bei der </w:t>
      </w:r>
      <w:r w:rsidR="008D7FBF">
        <w:rPr>
          <w:lang w:val="de-DE" w:eastAsia="en-US"/>
        </w:rPr>
        <w:t>Abteilung 7</w:t>
      </w:r>
      <w:r w:rsidR="003C6D4A">
        <w:rPr>
          <w:lang w:val="de-DE" w:eastAsia="en-US"/>
        </w:rPr>
        <w:t xml:space="preserve">) möglich. </w:t>
      </w:r>
    </w:p>
    <w:p w:rsidR="00EE0618" w:rsidRPr="00EE0618" w:rsidRDefault="00EE0618" w:rsidP="00EE0618">
      <w:pPr>
        <w:rPr>
          <w:lang w:val="de-DE" w:eastAsia="en-US"/>
        </w:rPr>
      </w:pPr>
    </w:p>
    <w:p w:rsidR="00EE0618" w:rsidRDefault="006D63BE" w:rsidP="00EE0618">
      <w:pPr>
        <w:pStyle w:val="berschrift2"/>
      </w:pPr>
      <w:r>
        <w:t>Sonstige und besondere Hinweise</w:t>
      </w:r>
      <w:r w:rsidR="000330F4">
        <w:t xml:space="preserve"> zur Förderungsabwicklung</w:t>
      </w:r>
    </w:p>
    <w:p w:rsidR="003C6D4A" w:rsidRDefault="003C6D4A" w:rsidP="003C6D4A">
      <w:pPr>
        <w:rPr>
          <w:lang w:val="de-DE" w:eastAsia="en-US"/>
        </w:rPr>
      </w:pPr>
    </w:p>
    <w:p w:rsidR="003C6D4A" w:rsidRDefault="000330F4" w:rsidP="000330F4">
      <w:pPr>
        <w:jc w:val="both"/>
        <w:rPr>
          <w:lang w:val="de-DE" w:eastAsia="en-US"/>
        </w:rPr>
      </w:pPr>
      <w:r>
        <w:rPr>
          <w:lang w:val="de-DE" w:eastAsia="en-US"/>
        </w:rPr>
        <w:t>Hinsichtlich der Förderungsabwicklung, insbesondere Prüfung des Förderungsantrages, Prüfung der Förderungsvoraussetzungen sowie Nachweisführung und -prüfung gelten</w:t>
      </w:r>
      <w:r w:rsidR="003E7E5E">
        <w:rPr>
          <w:lang w:val="de-DE" w:eastAsia="en-US"/>
        </w:rPr>
        <w:t>,</w:t>
      </w:r>
      <w:r>
        <w:rPr>
          <w:lang w:val="de-DE" w:eastAsia="en-US"/>
        </w:rPr>
        <w:t xml:space="preserve"> ausgenommen die Förderungsrichtsätze</w:t>
      </w:r>
      <w:r w:rsidR="003E7E5E">
        <w:rPr>
          <w:lang w:val="de-DE" w:eastAsia="en-US"/>
        </w:rPr>
        <w:t>,</w:t>
      </w:r>
      <w:r>
        <w:rPr>
          <w:lang w:val="de-DE" w:eastAsia="en-US"/>
        </w:rPr>
        <w:t xml:space="preserve"> die Richtlinien über die Gewährung von Bedarfszuweisungen, Infrastrukturmitteln und Beihilfen aus dem Landesschulbaufonds an Gemeinden vom 19.01.2009 (Regierungssitzungsbeschluss vom 19.01.20</w:t>
      </w:r>
      <w:r w:rsidR="003E7E5E">
        <w:rPr>
          <w:lang w:val="de-DE" w:eastAsia="en-US"/>
        </w:rPr>
        <w:t>09</w:t>
      </w:r>
      <w:r>
        <w:rPr>
          <w:lang w:val="de-DE" w:eastAsia="en-US"/>
        </w:rPr>
        <w:t>, GZ: FA7A-471-4/20</w:t>
      </w:r>
      <w:r w:rsidR="003E7E5E">
        <w:rPr>
          <w:lang w:val="de-DE" w:eastAsia="en-US"/>
        </w:rPr>
        <w:t>09</w:t>
      </w:r>
      <w:r>
        <w:rPr>
          <w:lang w:val="de-DE" w:eastAsia="en-US"/>
        </w:rPr>
        <w:t xml:space="preserve">-12) sinngemäß, soweit diese Richtlinien nichts anderes bestimmen. </w:t>
      </w:r>
    </w:p>
    <w:p w:rsidR="000330F4" w:rsidRDefault="000330F4" w:rsidP="000330F4">
      <w:pPr>
        <w:jc w:val="both"/>
        <w:rPr>
          <w:lang w:val="de-DE" w:eastAsia="en-US"/>
        </w:rPr>
      </w:pPr>
    </w:p>
    <w:p w:rsidR="00E424B5" w:rsidRDefault="00E424B5" w:rsidP="00E424B5">
      <w:pPr>
        <w:jc w:val="both"/>
        <w:rPr>
          <w:lang w:val="de-DE" w:eastAsia="en-US"/>
        </w:rPr>
      </w:pPr>
      <w:r>
        <w:rPr>
          <w:lang w:val="de-DE" w:eastAsia="en-US"/>
        </w:rPr>
        <w:t xml:space="preserve">Hinsichtlich des zu errichtenden Förderungsvertrages zwischen dem Förderungswerber und der </w:t>
      </w:r>
      <w:r w:rsidR="00522BE6">
        <w:rPr>
          <w:lang w:val="de-DE" w:eastAsia="en-US"/>
        </w:rPr>
        <w:t>Abteilung 7 Landes- und</w:t>
      </w:r>
      <w:r w:rsidR="008D7FBF">
        <w:rPr>
          <w:lang w:val="de-DE" w:eastAsia="en-US"/>
        </w:rPr>
        <w:t xml:space="preserve"> Gemeindeentwicklung </w:t>
      </w:r>
      <w:r>
        <w:rPr>
          <w:lang w:val="de-DE" w:eastAsia="en-US"/>
        </w:rPr>
        <w:t>gilt § 10 der Rahmenrichtlinie über die Gewährung von Förderungen des Landes Steiermark</w:t>
      </w:r>
      <w:r w:rsidR="002441CB">
        <w:rPr>
          <w:lang w:val="de-DE" w:eastAsia="en-US"/>
        </w:rPr>
        <w:t xml:space="preserve"> (Fördervertrag) </w:t>
      </w:r>
      <w:r>
        <w:rPr>
          <w:lang w:val="de-DE" w:eastAsia="en-US"/>
        </w:rPr>
        <w:t xml:space="preserve"> sinngemäß.</w:t>
      </w:r>
    </w:p>
    <w:p w:rsidR="00E424B5" w:rsidRDefault="00E424B5" w:rsidP="00E424B5">
      <w:pPr>
        <w:jc w:val="both"/>
        <w:rPr>
          <w:lang w:val="de-DE" w:eastAsia="en-US"/>
        </w:rPr>
      </w:pPr>
    </w:p>
    <w:p w:rsidR="00E424B5" w:rsidRPr="003C6D4A" w:rsidRDefault="00E424B5" w:rsidP="00E424B5">
      <w:pPr>
        <w:jc w:val="both"/>
        <w:rPr>
          <w:lang w:val="de-DE" w:eastAsia="en-US"/>
        </w:rPr>
      </w:pPr>
      <w:r>
        <w:rPr>
          <w:lang w:val="de-DE" w:eastAsia="en-US"/>
        </w:rPr>
        <w:t>Aus der Zugehörigkeit einer Gemeinde zu den Förderungswerbern dieser Richtlinien entsteht kein Rechtsanspruch auf die Gewährung der beschriebenen Förderungen/Zuschüsse.</w:t>
      </w:r>
    </w:p>
    <w:sectPr w:rsidR="00E424B5" w:rsidRPr="003C6D4A" w:rsidSect="00584023">
      <w:type w:val="continuous"/>
      <w:pgSz w:w="11907" w:h="16840" w:code="9"/>
      <w:pgMar w:top="1418" w:right="1418" w:bottom="1418" w:left="1418" w:header="680" w:footer="68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68" w:rsidRDefault="00863968">
      <w:r>
        <w:separator/>
      </w:r>
    </w:p>
  </w:endnote>
  <w:endnote w:type="continuationSeparator" w:id="0">
    <w:p w:rsidR="00863968" w:rsidRDefault="008639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B" w:rsidRPr="00921879" w:rsidRDefault="00284AEA" w:rsidP="006D4FB0">
    <w:pPr>
      <w:pStyle w:val="Fuzeile"/>
      <w:spacing w:before="120"/>
      <w:rPr>
        <w:sz w:val="14"/>
        <w:szCs w:val="14"/>
      </w:rPr>
    </w:pPr>
    <w:fldSimple w:instr=" FILENAME  \p  \* MERGEFORMAT ">
      <w:r w:rsidR="007D2A7A" w:rsidRPr="007D2A7A">
        <w:rPr>
          <w:noProof/>
          <w:sz w:val="14"/>
          <w:szCs w:val="14"/>
        </w:rPr>
        <w:t xml:space="preserve">N:\Referat Wirtschaftliche Angelegenheiten\40 Gebietsänderungen\Rili Reformfonds\Richtlinien </w:t>
      </w:r>
      <w:r w:rsidR="007D2A7A">
        <w:rPr>
          <w:noProof/>
        </w:rPr>
        <w:t>Reformfondsmittel 20130613.docx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68" w:rsidRDefault="00863968">
      <w:r>
        <w:separator/>
      </w:r>
    </w:p>
  </w:footnote>
  <w:footnote w:type="continuationSeparator" w:id="0">
    <w:p w:rsidR="00863968" w:rsidRDefault="0086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B" w:rsidRDefault="002441C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B" w:rsidRDefault="002441CB">
    <w:pPr>
      <w:pStyle w:val="Kopfzeile"/>
      <w:rPr>
        <w:rFonts w:ascii="Arial" w:hAnsi="Arial"/>
      </w:rPr>
    </w:pPr>
    <w:r>
      <w:rPr>
        <w:rFonts w:ascii="Arial" w:hAnsi="Arial"/>
      </w:rPr>
      <w:tab/>
      <w:t xml:space="preserve">- </w:t>
    </w:r>
    <w:r w:rsidR="00284AEA">
      <w:rPr>
        <w:rStyle w:val="Seitenzahl"/>
        <w:rFonts w:ascii="Arial" w:hAnsi="Arial"/>
      </w:rPr>
      <w:fldChar w:fldCharType="begin"/>
    </w:r>
    <w:r>
      <w:rPr>
        <w:rStyle w:val="Seitenzahl"/>
        <w:rFonts w:ascii="Arial" w:hAnsi="Arial"/>
      </w:rPr>
      <w:instrText xml:space="preserve"> PAGE </w:instrText>
    </w:r>
    <w:r w:rsidR="00284AEA">
      <w:rPr>
        <w:rStyle w:val="Seitenzahl"/>
        <w:rFonts w:ascii="Arial" w:hAnsi="Arial"/>
      </w:rPr>
      <w:fldChar w:fldCharType="separate"/>
    </w:r>
    <w:r w:rsidR="00E1108D">
      <w:rPr>
        <w:rStyle w:val="Seitenzahl"/>
        <w:rFonts w:ascii="Arial" w:hAnsi="Arial"/>
        <w:noProof/>
      </w:rPr>
      <w:t>4</w:t>
    </w:r>
    <w:r w:rsidR="00284AEA">
      <w:rPr>
        <w:rStyle w:val="Seitenzahl"/>
        <w:rFonts w:ascii="Arial" w:hAnsi="Arial"/>
      </w:rPr>
      <w:fldChar w:fldCharType="end"/>
    </w:r>
    <w:r>
      <w:rPr>
        <w:rStyle w:val="Seitenzahl"/>
        <w:rFonts w:ascii="Arial" w:hAnsi="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B" w:rsidRDefault="002441CB">
    <w:pPr>
      <w:framePr w:w="336" w:h="289" w:hSpace="141" w:wrap="around" w:vAnchor="page" w:hAnchor="page" w:x="554" w:y="5428"/>
      <w:rPr>
        <w:sz w:val="8"/>
      </w:rPr>
    </w:pPr>
    <w:r>
      <w:t>__</w:t>
    </w:r>
  </w:p>
  <w:p w:rsidR="002441CB" w:rsidRDefault="002441CB">
    <w:pPr>
      <w:pStyle w:val="Kopfzeile"/>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7BA"/>
    <w:multiLevelType w:val="hybridMultilevel"/>
    <w:tmpl w:val="2C2CDDF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457F71"/>
    <w:multiLevelType w:val="hybridMultilevel"/>
    <w:tmpl w:val="E3D62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4254EA"/>
    <w:multiLevelType w:val="hybridMultilevel"/>
    <w:tmpl w:val="95C2E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EB0F8B"/>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7CA37C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45D40D51"/>
    <w:multiLevelType w:val="hybridMultilevel"/>
    <w:tmpl w:val="3816377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3165A5"/>
    <w:multiLevelType w:val="hybridMultilevel"/>
    <w:tmpl w:val="E2A0C6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506C62"/>
    <w:multiLevelType w:val="hybridMultilevel"/>
    <w:tmpl w:val="486EF4AC"/>
    <w:lvl w:ilvl="0" w:tplc="1070078E">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5CE92441"/>
    <w:multiLevelType w:val="hybridMultilevel"/>
    <w:tmpl w:val="06900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210425C"/>
    <w:multiLevelType w:val="hybridMultilevel"/>
    <w:tmpl w:val="0560A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
  </w:num>
  <w:num w:numId="5">
    <w:abstractNumId w:val="4"/>
  </w:num>
  <w:num w:numId="6">
    <w:abstractNumId w:val="3"/>
  </w:num>
  <w:num w:numId="7">
    <w:abstractNumId w:val="0"/>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docVars>
    <w:docVar w:name="Ziel" w:val="Brief"/>
  </w:docVars>
  <w:rsids>
    <w:rsidRoot w:val="0093545B"/>
    <w:rsid w:val="00017F09"/>
    <w:rsid w:val="000330F4"/>
    <w:rsid w:val="00073951"/>
    <w:rsid w:val="00092053"/>
    <w:rsid w:val="00096C00"/>
    <w:rsid w:val="000A007C"/>
    <w:rsid w:val="000B0A1D"/>
    <w:rsid w:val="000B6BAF"/>
    <w:rsid w:val="000B7A75"/>
    <w:rsid w:val="000D028F"/>
    <w:rsid w:val="000F3138"/>
    <w:rsid w:val="001101D1"/>
    <w:rsid w:val="00121AC6"/>
    <w:rsid w:val="00124171"/>
    <w:rsid w:val="0013143E"/>
    <w:rsid w:val="001472A9"/>
    <w:rsid w:val="001505E1"/>
    <w:rsid w:val="00156E80"/>
    <w:rsid w:val="00181C11"/>
    <w:rsid w:val="001874D1"/>
    <w:rsid w:val="00192068"/>
    <w:rsid w:val="001C0D7F"/>
    <w:rsid w:val="001C24F3"/>
    <w:rsid w:val="001E13F8"/>
    <w:rsid w:val="001E24EE"/>
    <w:rsid w:val="001F16B8"/>
    <w:rsid w:val="00206B02"/>
    <w:rsid w:val="0021611C"/>
    <w:rsid w:val="002219A5"/>
    <w:rsid w:val="00222BCD"/>
    <w:rsid w:val="002441CB"/>
    <w:rsid w:val="002725AF"/>
    <w:rsid w:val="00284622"/>
    <w:rsid w:val="00284AEA"/>
    <w:rsid w:val="00285BAC"/>
    <w:rsid w:val="002A5A93"/>
    <w:rsid w:val="002B7F11"/>
    <w:rsid w:val="002E5C1B"/>
    <w:rsid w:val="00301C53"/>
    <w:rsid w:val="00332FF4"/>
    <w:rsid w:val="00380D8F"/>
    <w:rsid w:val="003A2E8A"/>
    <w:rsid w:val="003B184D"/>
    <w:rsid w:val="003C2056"/>
    <w:rsid w:val="003C6D4A"/>
    <w:rsid w:val="003D1EA3"/>
    <w:rsid w:val="003E5C13"/>
    <w:rsid w:val="003E7E5E"/>
    <w:rsid w:val="00410255"/>
    <w:rsid w:val="0041173D"/>
    <w:rsid w:val="00435E49"/>
    <w:rsid w:val="0045763E"/>
    <w:rsid w:val="00465971"/>
    <w:rsid w:val="004821AF"/>
    <w:rsid w:val="00484BD4"/>
    <w:rsid w:val="004B2E37"/>
    <w:rsid w:val="004B79A2"/>
    <w:rsid w:val="004F15C5"/>
    <w:rsid w:val="00501605"/>
    <w:rsid w:val="00522BE6"/>
    <w:rsid w:val="0053320F"/>
    <w:rsid w:val="005428A7"/>
    <w:rsid w:val="00565DBA"/>
    <w:rsid w:val="00571588"/>
    <w:rsid w:val="00584023"/>
    <w:rsid w:val="0058794C"/>
    <w:rsid w:val="00594C62"/>
    <w:rsid w:val="005A477F"/>
    <w:rsid w:val="005B4F91"/>
    <w:rsid w:val="005E1B62"/>
    <w:rsid w:val="00603A6B"/>
    <w:rsid w:val="00615508"/>
    <w:rsid w:val="00647CEB"/>
    <w:rsid w:val="0065125F"/>
    <w:rsid w:val="00690D26"/>
    <w:rsid w:val="006A0BEE"/>
    <w:rsid w:val="006A220E"/>
    <w:rsid w:val="006A57C7"/>
    <w:rsid w:val="006B02AD"/>
    <w:rsid w:val="006B18AE"/>
    <w:rsid w:val="006B7A0D"/>
    <w:rsid w:val="006C08AE"/>
    <w:rsid w:val="006D4FB0"/>
    <w:rsid w:val="006D63BE"/>
    <w:rsid w:val="006E259A"/>
    <w:rsid w:val="006F3A02"/>
    <w:rsid w:val="006F68CE"/>
    <w:rsid w:val="00701BA6"/>
    <w:rsid w:val="00711646"/>
    <w:rsid w:val="00743005"/>
    <w:rsid w:val="00743836"/>
    <w:rsid w:val="00746274"/>
    <w:rsid w:val="007553B6"/>
    <w:rsid w:val="00764B03"/>
    <w:rsid w:val="00775D38"/>
    <w:rsid w:val="00777984"/>
    <w:rsid w:val="007807D0"/>
    <w:rsid w:val="00785329"/>
    <w:rsid w:val="007A4F27"/>
    <w:rsid w:val="007B56D5"/>
    <w:rsid w:val="007B7DAA"/>
    <w:rsid w:val="007D2A7A"/>
    <w:rsid w:val="007E3A39"/>
    <w:rsid w:val="00803B86"/>
    <w:rsid w:val="00811D33"/>
    <w:rsid w:val="00814521"/>
    <w:rsid w:val="00862B29"/>
    <w:rsid w:val="00863968"/>
    <w:rsid w:val="00870584"/>
    <w:rsid w:val="008816EF"/>
    <w:rsid w:val="008A605F"/>
    <w:rsid w:val="008B0E8D"/>
    <w:rsid w:val="008C6BB1"/>
    <w:rsid w:val="008D7FBF"/>
    <w:rsid w:val="008E110F"/>
    <w:rsid w:val="008E3FD3"/>
    <w:rsid w:val="008E54F6"/>
    <w:rsid w:val="0090758B"/>
    <w:rsid w:val="00921879"/>
    <w:rsid w:val="0093545B"/>
    <w:rsid w:val="00941926"/>
    <w:rsid w:val="009639E6"/>
    <w:rsid w:val="00983455"/>
    <w:rsid w:val="00990467"/>
    <w:rsid w:val="0099228A"/>
    <w:rsid w:val="00996716"/>
    <w:rsid w:val="009B4BD9"/>
    <w:rsid w:val="009C630D"/>
    <w:rsid w:val="009E2EFD"/>
    <w:rsid w:val="009F0425"/>
    <w:rsid w:val="009F4B85"/>
    <w:rsid w:val="00A370EE"/>
    <w:rsid w:val="00A66C66"/>
    <w:rsid w:val="00A93DFE"/>
    <w:rsid w:val="00AA4E4C"/>
    <w:rsid w:val="00AF3307"/>
    <w:rsid w:val="00B052C8"/>
    <w:rsid w:val="00B4469D"/>
    <w:rsid w:val="00B70D32"/>
    <w:rsid w:val="00B85850"/>
    <w:rsid w:val="00BA2FEC"/>
    <w:rsid w:val="00BA6DD1"/>
    <w:rsid w:val="00BB0BD6"/>
    <w:rsid w:val="00BC24D4"/>
    <w:rsid w:val="00BC4F80"/>
    <w:rsid w:val="00BF1652"/>
    <w:rsid w:val="00C2152B"/>
    <w:rsid w:val="00C479B4"/>
    <w:rsid w:val="00C83705"/>
    <w:rsid w:val="00C873E3"/>
    <w:rsid w:val="00CB2248"/>
    <w:rsid w:val="00CB684B"/>
    <w:rsid w:val="00CE2EF7"/>
    <w:rsid w:val="00CF4CA4"/>
    <w:rsid w:val="00D14483"/>
    <w:rsid w:val="00D22C26"/>
    <w:rsid w:val="00D37756"/>
    <w:rsid w:val="00D5067F"/>
    <w:rsid w:val="00DA05E9"/>
    <w:rsid w:val="00DA7F54"/>
    <w:rsid w:val="00DE13C7"/>
    <w:rsid w:val="00E053DC"/>
    <w:rsid w:val="00E0613E"/>
    <w:rsid w:val="00E10074"/>
    <w:rsid w:val="00E1108D"/>
    <w:rsid w:val="00E14EC2"/>
    <w:rsid w:val="00E233F8"/>
    <w:rsid w:val="00E306F0"/>
    <w:rsid w:val="00E31271"/>
    <w:rsid w:val="00E424B5"/>
    <w:rsid w:val="00E50D1A"/>
    <w:rsid w:val="00E810D3"/>
    <w:rsid w:val="00E93AB1"/>
    <w:rsid w:val="00E94B07"/>
    <w:rsid w:val="00E95608"/>
    <w:rsid w:val="00E960AE"/>
    <w:rsid w:val="00EA2615"/>
    <w:rsid w:val="00EA2732"/>
    <w:rsid w:val="00EC0DA3"/>
    <w:rsid w:val="00EC4391"/>
    <w:rsid w:val="00EE0618"/>
    <w:rsid w:val="00EF74E2"/>
    <w:rsid w:val="00F17754"/>
    <w:rsid w:val="00F21B2E"/>
    <w:rsid w:val="00F25564"/>
    <w:rsid w:val="00F46802"/>
    <w:rsid w:val="00F4695E"/>
    <w:rsid w:val="00F51FB3"/>
    <w:rsid w:val="00F75AEB"/>
    <w:rsid w:val="00F927CB"/>
    <w:rsid w:val="00FC3781"/>
    <w:rsid w:val="00FD18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84023"/>
    <w:pPr>
      <w:overflowPunct w:val="0"/>
      <w:autoSpaceDE w:val="0"/>
      <w:autoSpaceDN w:val="0"/>
      <w:adjustRightInd w:val="0"/>
      <w:textAlignment w:val="baseline"/>
    </w:pPr>
    <w:rPr>
      <w:sz w:val="22"/>
      <w:lang w:eastAsia="de-DE"/>
    </w:rPr>
  </w:style>
  <w:style w:type="paragraph" w:styleId="berschrift1">
    <w:name w:val="heading 1"/>
    <w:basedOn w:val="Standard"/>
    <w:next w:val="Standard"/>
    <w:link w:val="berschrift1Zchn"/>
    <w:uiPriority w:val="9"/>
    <w:qFormat/>
    <w:rsid w:val="00284622"/>
    <w:pPr>
      <w:keepNext/>
      <w:keepLines/>
      <w:numPr>
        <w:numId w:val="5"/>
      </w:numPr>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berschrift2">
    <w:name w:val="heading 2"/>
    <w:basedOn w:val="Standard"/>
    <w:next w:val="Standard"/>
    <w:link w:val="berschrift2Zchn"/>
    <w:uiPriority w:val="9"/>
    <w:unhideWhenUsed/>
    <w:qFormat/>
    <w:rsid w:val="00284622"/>
    <w:pPr>
      <w:keepNext/>
      <w:keepLines/>
      <w:numPr>
        <w:ilvl w:val="1"/>
        <w:numId w:val="5"/>
      </w:numPr>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z w:val="26"/>
      <w:szCs w:val="26"/>
      <w:lang w:val="de-DE" w:eastAsia="en-US"/>
    </w:rPr>
  </w:style>
  <w:style w:type="paragraph" w:styleId="berschrift3">
    <w:name w:val="heading 3"/>
    <w:basedOn w:val="Standard"/>
    <w:next w:val="Standard"/>
    <w:link w:val="berschrift3Zchn"/>
    <w:uiPriority w:val="9"/>
    <w:semiHidden/>
    <w:unhideWhenUsed/>
    <w:qFormat/>
    <w:rsid w:val="00284622"/>
    <w:pPr>
      <w:keepNext/>
      <w:keepLines/>
      <w:numPr>
        <w:ilvl w:val="2"/>
        <w:numId w:val="5"/>
      </w:numPr>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Cs w:val="22"/>
      <w:lang w:val="de-DE" w:eastAsia="en-US"/>
    </w:rPr>
  </w:style>
  <w:style w:type="paragraph" w:styleId="berschrift4">
    <w:name w:val="heading 4"/>
    <w:basedOn w:val="Standard"/>
    <w:next w:val="Standard"/>
    <w:link w:val="berschrift4Zchn"/>
    <w:uiPriority w:val="9"/>
    <w:semiHidden/>
    <w:unhideWhenUsed/>
    <w:qFormat/>
    <w:rsid w:val="00284622"/>
    <w:pPr>
      <w:keepNext/>
      <w:keepLines/>
      <w:numPr>
        <w:ilvl w:val="3"/>
        <w:numId w:val="5"/>
      </w:numPr>
      <w:overflowPunct/>
      <w:autoSpaceDE/>
      <w:autoSpaceDN/>
      <w:adjustRightInd/>
      <w:spacing w:before="200" w:line="276" w:lineRule="auto"/>
      <w:textAlignment w:val="auto"/>
      <w:outlineLvl w:val="3"/>
    </w:pPr>
    <w:rPr>
      <w:rFonts w:asciiTheme="majorHAnsi" w:eastAsiaTheme="majorEastAsia" w:hAnsiTheme="majorHAnsi" w:cstheme="majorBidi"/>
      <w:b/>
      <w:bCs/>
      <w:i/>
      <w:iCs/>
      <w:color w:val="4F81BD" w:themeColor="accent1"/>
      <w:szCs w:val="22"/>
      <w:lang w:val="de-DE" w:eastAsia="en-US"/>
    </w:rPr>
  </w:style>
  <w:style w:type="paragraph" w:styleId="berschrift5">
    <w:name w:val="heading 5"/>
    <w:basedOn w:val="Standard"/>
    <w:next w:val="Standard"/>
    <w:link w:val="berschrift5Zchn"/>
    <w:uiPriority w:val="9"/>
    <w:semiHidden/>
    <w:unhideWhenUsed/>
    <w:qFormat/>
    <w:rsid w:val="00284622"/>
    <w:pPr>
      <w:keepNext/>
      <w:keepLines/>
      <w:numPr>
        <w:ilvl w:val="4"/>
        <w:numId w:val="5"/>
      </w:numPr>
      <w:overflowPunct/>
      <w:autoSpaceDE/>
      <w:autoSpaceDN/>
      <w:adjustRightInd/>
      <w:spacing w:before="200" w:line="276" w:lineRule="auto"/>
      <w:textAlignment w:val="auto"/>
      <w:outlineLvl w:val="4"/>
    </w:pPr>
    <w:rPr>
      <w:rFonts w:asciiTheme="majorHAnsi" w:eastAsiaTheme="majorEastAsia" w:hAnsiTheme="majorHAnsi" w:cstheme="majorBidi"/>
      <w:color w:val="243F60" w:themeColor="accent1" w:themeShade="7F"/>
      <w:szCs w:val="22"/>
      <w:lang w:val="de-DE" w:eastAsia="en-US"/>
    </w:rPr>
  </w:style>
  <w:style w:type="paragraph" w:styleId="berschrift6">
    <w:name w:val="heading 6"/>
    <w:basedOn w:val="Standard"/>
    <w:next w:val="Standard"/>
    <w:link w:val="berschrift6Zchn"/>
    <w:uiPriority w:val="9"/>
    <w:semiHidden/>
    <w:unhideWhenUsed/>
    <w:qFormat/>
    <w:rsid w:val="00284622"/>
    <w:pPr>
      <w:keepNext/>
      <w:keepLines/>
      <w:numPr>
        <w:ilvl w:val="5"/>
        <w:numId w:val="5"/>
      </w:numPr>
      <w:overflowPunct/>
      <w:autoSpaceDE/>
      <w:autoSpaceDN/>
      <w:adjustRightInd/>
      <w:spacing w:before="200" w:line="276" w:lineRule="auto"/>
      <w:textAlignment w:val="auto"/>
      <w:outlineLvl w:val="5"/>
    </w:pPr>
    <w:rPr>
      <w:rFonts w:asciiTheme="majorHAnsi" w:eastAsiaTheme="majorEastAsia" w:hAnsiTheme="majorHAnsi" w:cstheme="majorBidi"/>
      <w:i/>
      <w:iCs/>
      <w:color w:val="243F60" w:themeColor="accent1" w:themeShade="7F"/>
      <w:szCs w:val="22"/>
      <w:lang w:val="de-DE" w:eastAsia="en-US"/>
    </w:rPr>
  </w:style>
  <w:style w:type="paragraph" w:styleId="berschrift7">
    <w:name w:val="heading 7"/>
    <w:basedOn w:val="Standard"/>
    <w:next w:val="Standard"/>
    <w:link w:val="berschrift7Zchn"/>
    <w:uiPriority w:val="9"/>
    <w:semiHidden/>
    <w:unhideWhenUsed/>
    <w:qFormat/>
    <w:rsid w:val="00284622"/>
    <w:pPr>
      <w:keepNext/>
      <w:keepLines/>
      <w:numPr>
        <w:ilvl w:val="6"/>
        <w:numId w:val="5"/>
      </w:numPr>
      <w:overflowPunct/>
      <w:autoSpaceDE/>
      <w:autoSpaceDN/>
      <w:adjustRightInd/>
      <w:spacing w:before="200" w:line="276" w:lineRule="auto"/>
      <w:textAlignment w:val="auto"/>
      <w:outlineLvl w:val="6"/>
    </w:pPr>
    <w:rPr>
      <w:rFonts w:asciiTheme="majorHAnsi" w:eastAsiaTheme="majorEastAsia" w:hAnsiTheme="majorHAnsi" w:cstheme="majorBidi"/>
      <w:i/>
      <w:iCs/>
      <w:color w:val="404040" w:themeColor="text1" w:themeTint="BF"/>
      <w:szCs w:val="22"/>
      <w:lang w:val="de-DE" w:eastAsia="en-US"/>
    </w:rPr>
  </w:style>
  <w:style w:type="paragraph" w:styleId="berschrift8">
    <w:name w:val="heading 8"/>
    <w:basedOn w:val="Standard"/>
    <w:next w:val="Standard"/>
    <w:link w:val="berschrift8Zchn"/>
    <w:uiPriority w:val="9"/>
    <w:semiHidden/>
    <w:unhideWhenUsed/>
    <w:qFormat/>
    <w:rsid w:val="00284622"/>
    <w:pPr>
      <w:keepNext/>
      <w:keepLines/>
      <w:numPr>
        <w:ilvl w:val="7"/>
        <w:numId w:val="5"/>
      </w:numPr>
      <w:overflowPunct/>
      <w:autoSpaceDE/>
      <w:autoSpaceDN/>
      <w:adjustRightInd/>
      <w:spacing w:before="200" w:line="276" w:lineRule="auto"/>
      <w:textAlignment w:val="auto"/>
      <w:outlineLvl w:val="7"/>
    </w:pPr>
    <w:rPr>
      <w:rFonts w:asciiTheme="majorHAnsi" w:eastAsiaTheme="majorEastAsia" w:hAnsiTheme="majorHAnsi" w:cstheme="majorBidi"/>
      <w:color w:val="404040" w:themeColor="text1" w:themeTint="BF"/>
      <w:sz w:val="20"/>
      <w:lang w:val="de-DE" w:eastAsia="en-US"/>
    </w:rPr>
  </w:style>
  <w:style w:type="paragraph" w:styleId="berschrift9">
    <w:name w:val="heading 9"/>
    <w:basedOn w:val="Standard"/>
    <w:next w:val="Standard"/>
    <w:link w:val="berschrift9Zchn"/>
    <w:uiPriority w:val="9"/>
    <w:semiHidden/>
    <w:unhideWhenUsed/>
    <w:qFormat/>
    <w:rsid w:val="00284622"/>
    <w:pPr>
      <w:keepNext/>
      <w:keepLines/>
      <w:numPr>
        <w:ilvl w:val="8"/>
        <w:numId w:val="5"/>
      </w:numPr>
      <w:overflowPunct/>
      <w:autoSpaceDE/>
      <w:autoSpaceDN/>
      <w:adjustRightInd/>
      <w:spacing w:before="200" w:line="276" w:lineRule="auto"/>
      <w:textAlignment w:val="auto"/>
      <w:outlineLvl w:val="8"/>
    </w:pPr>
    <w:rPr>
      <w:rFonts w:asciiTheme="majorHAnsi" w:eastAsiaTheme="majorEastAsia" w:hAnsiTheme="majorHAnsi" w:cstheme="majorBidi"/>
      <w:i/>
      <w:iCs/>
      <w:color w:val="404040" w:themeColor="text1" w:themeTint="BF"/>
      <w:sz w:val="2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4023"/>
    <w:pPr>
      <w:tabs>
        <w:tab w:val="center" w:pos="4536"/>
        <w:tab w:val="right" w:pos="9072"/>
      </w:tabs>
    </w:pPr>
  </w:style>
  <w:style w:type="paragraph" w:styleId="Fuzeile">
    <w:name w:val="footer"/>
    <w:basedOn w:val="Standard"/>
    <w:link w:val="FuzeileZchn"/>
    <w:uiPriority w:val="99"/>
    <w:rsid w:val="00584023"/>
    <w:pPr>
      <w:tabs>
        <w:tab w:val="center" w:pos="4536"/>
        <w:tab w:val="right" w:pos="9072"/>
      </w:tabs>
      <w:jc w:val="center"/>
    </w:pPr>
    <w:rPr>
      <w:rFonts w:ascii="Arial" w:hAnsi="Arial"/>
      <w:sz w:val="18"/>
    </w:rPr>
  </w:style>
  <w:style w:type="paragraph" w:customStyle="1" w:styleId="DSTkurz">
    <w:name w:val="DSTkurz"/>
    <w:basedOn w:val="Dummy"/>
    <w:rsid w:val="00584023"/>
    <w:pPr>
      <w:spacing w:before="300" w:after="300"/>
      <w:ind w:left="0"/>
    </w:pPr>
    <w:rPr>
      <w:rFonts w:ascii="Arial" w:hAnsi="Arial"/>
      <w:sz w:val="12"/>
    </w:rPr>
  </w:style>
  <w:style w:type="paragraph" w:customStyle="1" w:styleId="Header">
    <w:name w:val="Header"/>
    <w:basedOn w:val="Standard"/>
    <w:rsid w:val="00584023"/>
    <w:pPr>
      <w:spacing w:before="180" w:after="160" w:line="300" w:lineRule="exact"/>
      <w:ind w:left="-85"/>
    </w:pPr>
    <w:rPr>
      <w:b/>
    </w:rPr>
  </w:style>
  <w:style w:type="paragraph" w:customStyle="1" w:styleId="Text">
    <w:name w:val="Text"/>
    <w:basedOn w:val="Standard"/>
    <w:rsid w:val="00584023"/>
    <w:pPr>
      <w:spacing w:before="80" w:after="80" w:line="300" w:lineRule="exact"/>
    </w:pPr>
  </w:style>
  <w:style w:type="character" w:styleId="Seitenzahl">
    <w:name w:val="page number"/>
    <w:basedOn w:val="Absatz-Standardschriftart"/>
    <w:rsid w:val="00584023"/>
  </w:style>
  <w:style w:type="paragraph" w:customStyle="1" w:styleId="Zusatz">
    <w:name w:val="Zusatz"/>
    <w:rsid w:val="00584023"/>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rsid w:val="00584023"/>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rsid w:val="00584023"/>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rsid w:val="00584023"/>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Bearbeiterinfo">
    <w:name w:val="Bearbeiterinfo"/>
    <w:rsid w:val="00584023"/>
    <w:pPr>
      <w:tabs>
        <w:tab w:val="left" w:pos="454"/>
      </w:tabs>
      <w:overflowPunct w:val="0"/>
      <w:autoSpaceDE w:val="0"/>
      <w:autoSpaceDN w:val="0"/>
      <w:adjustRightInd w:val="0"/>
      <w:spacing w:before="180" w:after="160" w:line="240" w:lineRule="exact"/>
      <w:textAlignment w:val="baseline"/>
    </w:pPr>
    <w:rPr>
      <w:rFonts w:ascii="Arial" w:hAnsi="Arial"/>
      <w:noProof/>
      <w:sz w:val="18"/>
      <w:lang w:eastAsia="de-DE"/>
    </w:rPr>
  </w:style>
  <w:style w:type="paragraph" w:customStyle="1" w:styleId="GZ-Ggst">
    <w:name w:val="GZ-Ggst"/>
    <w:basedOn w:val="Standard"/>
    <w:rsid w:val="00584023"/>
    <w:pPr>
      <w:spacing w:line="280" w:lineRule="exact"/>
    </w:pPr>
  </w:style>
  <w:style w:type="paragraph" w:customStyle="1" w:styleId="blick">
    <w:name w:val="blick"/>
    <w:basedOn w:val="Standard"/>
    <w:rsid w:val="00584023"/>
    <w:pPr>
      <w:spacing w:after="80" w:line="300" w:lineRule="exact"/>
      <w:ind w:left="284" w:hanging="284"/>
    </w:pPr>
  </w:style>
  <w:style w:type="paragraph" w:customStyle="1" w:styleId="berschrift">
    <w:name w:val="Überschrift"/>
    <w:basedOn w:val="Standard"/>
    <w:next w:val="Text"/>
    <w:rsid w:val="00584023"/>
    <w:pPr>
      <w:spacing w:before="200" w:after="80" w:line="300" w:lineRule="exact"/>
    </w:pPr>
    <w:rPr>
      <w:b/>
    </w:rPr>
  </w:style>
  <w:style w:type="paragraph" w:customStyle="1" w:styleId="Dummy">
    <w:name w:val="Dummy"/>
    <w:basedOn w:val="Standard"/>
    <w:rsid w:val="00584023"/>
    <w:pPr>
      <w:spacing w:after="120"/>
      <w:ind w:left="-567"/>
    </w:pPr>
  </w:style>
  <w:style w:type="paragraph" w:customStyle="1" w:styleId="Adressat">
    <w:name w:val="Adressat"/>
    <w:basedOn w:val="Standard"/>
    <w:rsid w:val="00584023"/>
  </w:style>
  <w:style w:type="paragraph" w:styleId="Abbildungsverzeichnis">
    <w:name w:val="table of figures"/>
    <w:basedOn w:val="Standard"/>
    <w:next w:val="Standard"/>
    <w:semiHidden/>
    <w:rsid w:val="00584023"/>
    <w:pPr>
      <w:tabs>
        <w:tab w:val="right" w:leader="dot" w:pos="9071"/>
      </w:tabs>
      <w:ind w:left="480" w:hanging="480"/>
    </w:pPr>
  </w:style>
  <w:style w:type="paragraph" w:styleId="Sprechblasentext">
    <w:name w:val="Balloon Text"/>
    <w:basedOn w:val="Standard"/>
    <w:link w:val="SprechblasentextZchn"/>
    <w:uiPriority w:val="99"/>
    <w:rsid w:val="00410255"/>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10255"/>
    <w:rPr>
      <w:rFonts w:ascii="Tahoma" w:hAnsi="Tahoma" w:cs="Tahoma"/>
      <w:sz w:val="16"/>
      <w:szCs w:val="16"/>
      <w:lang w:eastAsia="de-DE"/>
    </w:rPr>
  </w:style>
  <w:style w:type="character" w:styleId="Hyperlink">
    <w:name w:val="Hyperlink"/>
    <w:basedOn w:val="Absatz-Standardschriftart"/>
    <w:rsid w:val="00E95608"/>
    <w:rPr>
      <w:color w:val="0000FF"/>
      <w:u w:val="single"/>
    </w:rPr>
  </w:style>
  <w:style w:type="character" w:customStyle="1" w:styleId="berschrift1Zchn">
    <w:name w:val="Überschrift 1 Zchn"/>
    <w:basedOn w:val="Absatz-Standardschriftart"/>
    <w:link w:val="berschrift1"/>
    <w:uiPriority w:val="9"/>
    <w:rsid w:val="00284622"/>
    <w:rPr>
      <w:rFonts w:asciiTheme="majorHAnsi" w:eastAsiaTheme="majorEastAsia" w:hAnsiTheme="majorHAnsi" w:cstheme="majorBidi"/>
      <w:b/>
      <w:bCs/>
      <w:color w:val="365F91" w:themeColor="accent1" w:themeShade="BF"/>
      <w:sz w:val="28"/>
      <w:szCs w:val="28"/>
      <w:lang w:val="de-DE" w:eastAsia="en-US"/>
    </w:rPr>
  </w:style>
  <w:style w:type="character" w:customStyle="1" w:styleId="berschrift2Zchn">
    <w:name w:val="Überschrift 2 Zchn"/>
    <w:basedOn w:val="Absatz-Standardschriftart"/>
    <w:link w:val="berschrift2"/>
    <w:uiPriority w:val="9"/>
    <w:rsid w:val="00284622"/>
    <w:rPr>
      <w:rFonts w:asciiTheme="majorHAnsi" w:eastAsiaTheme="majorEastAsia" w:hAnsiTheme="majorHAnsi" w:cstheme="majorBidi"/>
      <w:b/>
      <w:bCs/>
      <w:color w:val="4F81BD" w:themeColor="accent1"/>
      <w:sz w:val="26"/>
      <w:szCs w:val="26"/>
      <w:lang w:val="de-DE" w:eastAsia="en-US"/>
    </w:rPr>
  </w:style>
  <w:style w:type="character" w:customStyle="1" w:styleId="berschrift3Zchn">
    <w:name w:val="Überschrift 3 Zchn"/>
    <w:basedOn w:val="Absatz-Standardschriftart"/>
    <w:link w:val="berschrift3"/>
    <w:uiPriority w:val="9"/>
    <w:semiHidden/>
    <w:rsid w:val="00284622"/>
    <w:rPr>
      <w:rFonts w:asciiTheme="majorHAnsi" w:eastAsiaTheme="majorEastAsia" w:hAnsiTheme="majorHAnsi" w:cstheme="majorBidi"/>
      <w:b/>
      <w:bCs/>
      <w:color w:val="4F81BD" w:themeColor="accent1"/>
      <w:sz w:val="22"/>
      <w:szCs w:val="22"/>
      <w:lang w:val="de-DE" w:eastAsia="en-US"/>
    </w:rPr>
  </w:style>
  <w:style w:type="character" w:customStyle="1" w:styleId="berschrift4Zchn">
    <w:name w:val="Überschrift 4 Zchn"/>
    <w:basedOn w:val="Absatz-Standardschriftart"/>
    <w:link w:val="berschrift4"/>
    <w:uiPriority w:val="9"/>
    <w:semiHidden/>
    <w:rsid w:val="00284622"/>
    <w:rPr>
      <w:rFonts w:asciiTheme="majorHAnsi" w:eastAsiaTheme="majorEastAsia" w:hAnsiTheme="majorHAnsi" w:cstheme="majorBidi"/>
      <w:b/>
      <w:bCs/>
      <w:i/>
      <w:iCs/>
      <w:color w:val="4F81BD" w:themeColor="accent1"/>
      <w:sz w:val="22"/>
      <w:szCs w:val="22"/>
      <w:lang w:val="de-DE" w:eastAsia="en-US"/>
    </w:rPr>
  </w:style>
  <w:style w:type="character" w:customStyle="1" w:styleId="berschrift5Zchn">
    <w:name w:val="Überschrift 5 Zchn"/>
    <w:basedOn w:val="Absatz-Standardschriftart"/>
    <w:link w:val="berschrift5"/>
    <w:uiPriority w:val="9"/>
    <w:semiHidden/>
    <w:rsid w:val="00284622"/>
    <w:rPr>
      <w:rFonts w:asciiTheme="majorHAnsi" w:eastAsiaTheme="majorEastAsia" w:hAnsiTheme="majorHAnsi" w:cstheme="majorBidi"/>
      <w:color w:val="243F60" w:themeColor="accent1" w:themeShade="7F"/>
      <w:sz w:val="22"/>
      <w:szCs w:val="22"/>
      <w:lang w:val="de-DE" w:eastAsia="en-US"/>
    </w:rPr>
  </w:style>
  <w:style w:type="character" w:customStyle="1" w:styleId="berschrift6Zchn">
    <w:name w:val="Überschrift 6 Zchn"/>
    <w:basedOn w:val="Absatz-Standardschriftart"/>
    <w:link w:val="berschrift6"/>
    <w:uiPriority w:val="9"/>
    <w:semiHidden/>
    <w:rsid w:val="00284622"/>
    <w:rPr>
      <w:rFonts w:asciiTheme="majorHAnsi" w:eastAsiaTheme="majorEastAsia" w:hAnsiTheme="majorHAnsi" w:cstheme="majorBidi"/>
      <w:i/>
      <w:iCs/>
      <w:color w:val="243F60" w:themeColor="accent1" w:themeShade="7F"/>
      <w:sz w:val="22"/>
      <w:szCs w:val="22"/>
      <w:lang w:val="de-DE" w:eastAsia="en-US"/>
    </w:rPr>
  </w:style>
  <w:style w:type="character" w:customStyle="1" w:styleId="berschrift7Zchn">
    <w:name w:val="Überschrift 7 Zchn"/>
    <w:basedOn w:val="Absatz-Standardschriftart"/>
    <w:link w:val="berschrift7"/>
    <w:uiPriority w:val="9"/>
    <w:semiHidden/>
    <w:rsid w:val="00284622"/>
    <w:rPr>
      <w:rFonts w:asciiTheme="majorHAnsi" w:eastAsiaTheme="majorEastAsia" w:hAnsiTheme="majorHAnsi" w:cstheme="majorBidi"/>
      <w:i/>
      <w:iCs/>
      <w:color w:val="404040" w:themeColor="text1" w:themeTint="BF"/>
      <w:sz w:val="22"/>
      <w:szCs w:val="22"/>
      <w:lang w:val="de-DE" w:eastAsia="en-US"/>
    </w:rPr>
  </w:style>
  <w:style w:type="character" w:customStyle="1" w:styleId="berschrift8Zchn">
    <w:name w:val="Überschrift 8 Zchn"/>
    <w:basedOn w:val="Absatz-Standardschriftart"/>
    <w:link w:val="berschrift8"/>
    <w:uiPriority w:val="9"/>
    <w:semiHidden/>
    <w:rsid w:val="00284622"/>
    <w:rPr>
      <w:rFonts w:asciiTheme="majorHAnsi" w:eastAsiaTheme="majorEastAsia" w:hAnsiTheme="majorHAnsi" w:cstheme="majorBidi"/>
      <w:color w:val="404040" w:themeColor="text1" w:themeTint="BF"/>
      <w:lang w:val="de-DE" w:eastAsia="en-US"/>
    </w:rPr>
  </w:style>
  <w:style w:type="character" w:customStyle="1" w:styleId="berschrift9Zchn">
    <w:name w:val="Überschrift 9 Zchn"/>
    <w:basedOn w:val="Absatz-Standardschriftart"/>
    <w:link w:val="berschrift9"/>
    <w:uiPriority w:val="9"/>
    <w:semiHidden/>
    <w:rsid w:val="00284622"/>
    <w:rPr>
      <w:rFonts w:asciiTheme="majorHAnsi" w:eastAsiaTheme="majorEastAsia" w:hAnsiTheme="majorHAnsi" w:cstheme="majorBidi"/>
      <w:i/>
      <w:iCs/>
      <w:color w:val="404040" w:themeColor="text1" w:themeTint="BF"/>
      <w:lang w:val="de-DE" w:eastAsia="en-US"/>
    </w:rPr>
  </w:style>
  <w:style w:type="table" w:styleId="Tabellengitternetz">
    <w:name w:val="Table Grid"/>
    <w:basedOn w:val="NormaleTabelle"/>
    <w:uiPriority w:val="59"/>
    <w:rsid w:val="00284622"/>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basedOn w:val="Absatz-Standardschriftart"/>
    <w:link w:val="Kopfzeile"/>
    <w:uiPriority w:val="99"/>
    <w:rsid w:val="00284622"/>
    <w:rPr>
      <w:sz w:val="22"/>
      <w:lang w:eastAsia="de-DE"/>
    </w:rPr>
  </w:style>
  <w:style w:type="character" w:customStyle="1" w:styleId="FuzeileZchn">
    <w:name w:val="Fußzeile Zchn"/>
    <w:basedOn w:val="Absatz-Standardschriftart"/>
    <w:link w:val="Fuzeile"/>
    <w:uiPriority w:val="99"/>
    <w:rsid w:val="00284622"/>
    <w:rPr>
      <w:rFonts w:ascii="Arial" w:hAnsi="Arial"/>
      <w:sz w:val="18"/>
      <w:lang w:eastAsia="de-DE"/>
    </w:rPr>
  </w:style>
  <w:style w:type="paragraph" w:styleId="Listenabsatz">
    <w:name w:val="List Paragraph"/>
    <w:basedOn w:val="Standard"/>
    <w:uiPriority w:val="34"/>
    <w:qFormat/>
    <w:rsid w:val="00D22C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emeindestrukturreform.steiermark.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AF39-34FD-4855-B4E3-248141A6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AMT DER STEIERMÄRKISCHEN LANDESREGIERUNG	</vt:lpstr>
    </vt:vector>
  </TitlesOfParts>
  <Company>Amt der Stmk. Landesregierung</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DER STEIERMÄRKISCHEN LANDESREGIERUNG	</dc:title>
  <dc:subject/>
  <dc:creator>Landesstandard</dc:creator>
  <cp:keywords/>
  <dc:description/>
  <cp:lastModifiedBy>Landesstandard</cp:lastModifiedBy>
  <cp:revision>9</cp:revision>
  <cp:lastPrinted>2013-06-13T06:15:00Z</cp:lastPrinted>
  <dcterms:created xsi:type="dcterms:W3CDTF">2013-06-13T06:09:00Z</dcterms:created>
  <dcterms:modified xsi:type="dcterms:W3CDTF">2013-06-17T12:28:00Z</dcterms:modified>
</cp:coreProperties>
</file>